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_rels/chart1.xml.rels" ContentType="application/vnd.openxmlformats-package.relationships+xml"/>
  <Override PartName="/word/charts/_rels/chart2.xml.rels" ContentType="application/vnd.openxmlformats-package.relationship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embeddings/_____Microsoft_Office_Excel2.xlsx" ContentType="application/vnd.openxmlformats-officedocument.spreadsheetml.sheet"/>
  <Override PartName="/word/embeddings/_____Microsoft_Office_Excel1.xlsx" ContentType="application/vnd.openxmlformats-officedocument.spreadsheetml.sheet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center"/>
        <w:rPr>
          <w:rFonts w:ascii="Georgia" w:hAnsi="Georgia"/>
          <w:b/>
          <w:b/>
        </w:rPr>
      </w:pPr>
      <w:r>
        <w:rPr>
          <w:rFonts w:ascii="Georgia" w:hAnsi="Georgia"/>
          <w:b/>
        </w:rPr>
        <w:t xml:space="preserve">Анализ результатов диагностической работы по оценке сформированности </w:t>
      </w:r>
      <w:r>
        <w:rPr>
          <w:rFonts w:ascii="Georgia" w:hAnsi="Georgia"/>
          <w:b/>
          <w:bCs/>
        </w:rPr>
        <w:t>метапредметных</w:t>
      </w:r>
      <w:r>
        <w:rPr>
          <w:rFonts w:ascii="Georgia" w:hAnsi="Georgia"/>
          <w:b/>
        </w:rPr>
        <w:t xml:space="preserve"> умений обучающихся 10 класса </w:t>
      </w:r>
    </w:p>
    <w:p>
      <w:pPr>
        <w:pStyle w:val="Normal"/>
        <w:spacing w:before="0" w:after="0"/>
        <w:jc w:val="center"/>
        <w:rPr>
          <w:rFonts w:ascii="Georgia" w:hAnsi="Georgia"/>
          <w:b/>
          <w:b/>
        </w:rPr>
      </w:pPr>
      <w:r>
        <w:rPr>
          <w:rFonts w:ascii="Georgia" w:hAnsi="Georgia"/>
          <w:b/>
        </w:rPr>
        <w:t>МБОУ «Средняя общеобразовательная школа №1 им. Д.Хугаева С.Ногир»МО Пригородный район РСО-Алания</w:t>
      </w:r>
    </w:p>
    <w:p>
      <w:pPr>
        <w:pStyle w:val="Normal"/>
        <w:rPr>
          <w:rFonts w:ascii="Georgia" w:hAnsi="Georgia" w:cs="Arial"/>
        </w:rPr>
      </w:pPr>
      <w:r>
        <w:rPr>
          <w:rFonts w:cs="Arial" w:ascii="Georgia" w:hAnsi="Georgia"/>
        </w:rPr>
        <w:tab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Arial" w:ascii="Georgia" w:hAnsi="Georgia"/>
        </w:rPr>
        <w:tab/>
      </w:r>
      <w:r>
        <w:rPr>
          <w:rFonts w:cs="Times New Roman" w:ascii="Times New Roman" w:hAnsi="Times New Roman"/>
          <w:sz w:val="24"/>
          <w:szCs w:val="24"/>
        </w:rPr>
        <w:t>Мониторинговое исследование сформированности универсальных учебных действий (метапредметных результатов) у учащихся 10 класса МБОУ СОШ №1им. Д.Хугаева с. Ногир проводилось на  основании  приказа Министерства образования и науки Республики Северная Осетия-Алания от 05 апреля 2021 г. № 318 «О проведении мониторинга «Диагностика достижения метапредметных результатов обучающихся 10-х классов» в общеобразовательных организациях Республики Северная Осетия-Алания».</w:t>
      </w:r>
    </w:p>
    <w:p>
      <w:pPr>
        <w:pStyle w:val="1"/>
        <w:spacing w:lineRule="auto" w:line="240" w:before="0" w:after="0"/>
        <w:ind w:left="0" w:hanging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bCs/>
          <w:sz w:val="24"/>
          <w:szCs w:val="24"/>
        </w:rPr>
        <w:t>16 апреля 2021 года</w:t>
      </w:r>
    </w:p>
    <w:p>
      <w:pPr>
        <w:pStyle w:val="1"/>
        <w:spacing w:lineRule="auto" w:line="240" w:before="0" w:after="0"/>
        <w:ind w:lef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Форма:</w:t>
      </w:r>
      <w:r>
        <w:rPr>
          <w:rFonts w:ascii="Times New Roman" w:hAnsi="Times New Roman"/>
          <w:bCs/>
          <w:sz w:val="24"/>
          <w:szCs w:val="24"/>
        </w:rPr>
        <w:t xml:space="preserve"> комплексная метапредметная работа </w:t>
      </w:r>
    </w:p>
    <w:p>
      <w:pPr>
        <w:pStyle w:val="Normal"/>
        <w:spacing w:before="0" w:after="20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Цель  работы: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1Выявить уровень достижения сформированности метапредметных   умений  у обучающимися 10 класса в соответствии с требованиями федеральных государственных образовательных стандартов.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Содержание проверочной работы определяется Кодификатором метапредметных (познавательных) умений, который составлен на основе требований к метапредметным результатам освоения.</w:t>
      </w:r>
    </w:p>
    <w:p>
      <w:pPr>
        <w:pStyle w:val="Normal"/>
        <w:tabs>
          <w:tab w:val="left" w:pos="426" w:leader="none"/>
        </w:tabs>
        <w:spacing w:before="0" w:after="0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Работа была направлена на проверку умений, являющихся составной частью грамотности чтения, и различных универсальных учебных действий.</w:t>
        <w:tab/>
        <w:t>Для проведения диагностики был  предложен   тест, выполнение которого было рассчитано на 90 минут (с перерывом в 10 минут).</w:t>
      </w:r>
    </w:p>
    <w:p>
      <w:pPr>
        <w:pStyle w:val="Normal"/>
        <w:tabs>
          <w:tab w:val="left" w:pos="426" w:leader="none"/>
        </w:tabs>
        <w:spacing w:before="0" w:after="0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ab/>
        <w:t>Задания, объединенные в группы и отличающиеся контекстом, были направлены на проверку основных блоков  метапредметных результатов обучения (сформированность универсальных учебных действий).</w:t>
      </w:r>
    </w:p>
    <w:p>
      <w:pPr>
        <w:pStyle w:val="Normal"/>
        <w:tabs>
          <w:tab w:val="left" w:pos="426" w:leader="none"/>
        </w:tabs>
        <w:spacing w:before="0" w:after="0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Познавательные универсальные действия проверяются при помощи заданий, использующих контекст учебных предметов: обществознания, биологии, физики, химии, математики, а также анализ разнообразных ситуаций практико-ориентированного характера.</w:t>
      </w:r>
    </w:p>
    <w:p>
      <w:pPr>
        <w:pStyle w:val="Normal"/>
        <w:tabs>
          <w:tab w:val="left" w:pos="426" w:leader="none"/>
        </w:tabs>
        <w:spacing w:before="0" w:after="0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Вариант состоит из 20 заданий:</w:t>
      </w:r>
    </w:p>
    <w:p>
      <w:pPr>
        <w:pStyle w:val="Normal"/>
        <w:tabs>
          <w:tab w:val="left" w:pos="426" w:leader="none"/>
        </w:tabs>
        <w:spacing w:before="0" w:after="0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  </w:t>
      </w:r>
      <w:r>
        <w:rPr>
          <w:rFonts w:cs="Times New Roman" w:ascii="Times New Roman" w:hAnsi="Times New Roman"/>
          <w:iCs/>
          <w:sz w:val="24"/>
          <w:szCs w:val="24"/>
        </w:rPr>
        <w:t>-7 заданий с выбором единственного верного ответа из четырех предложенных;</w:t>
      </w:r>
    </w:p>
    <w:p>
      <w:pPr>
        <w:pStyle w:val="Normal"/>
        <w:tabs>
          <w:tab w:val="left" w:pos="426" w:leader="none"/>
        </w:tabs>
        <w:spacing w:before="0" w:after="0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 </w:t>
      </w:r>
      <w:r>
        <w:rPr>
          <w:rFonts w:cs="Times New Roman" w:ascii="Times New Roman" w:hAnsi="Times New Roman"/>
          <w:iCs/>
          <w:sz w:val="24"/>
          <w:szCs w:val="24"/>
        </w:rPr>
        <w:t>-5 заданий с кратким ответом, которым является правильная последовательность чисел;</w:t>
      </w:r>
    </w:p>
    <w:p>
      <w:pPr>
        <w:pStyle w:val="Normal"/>
        <w:tabs>
          <w:tab w:val="left" w:pos="426" w:leader="none"/>
        </w:tabs>
        <w:spacing w:before="0" w:after="0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   </w:t>
      </w:r>
      <w:r>
        <w:rPr>
          <w:rFonts w:cs="Times New Roman" w:ascii="Times New Roman" w:hAnsi="Times New Roman"/>
          <w:iCs/>
          <w:sz w:val="24"/>
          <w:szCs w:val="24"/>
        </w:rPr>
        <w:t>-8 заданий с развернутым ответом, в которых требуется самостоятельно написать ответ (на обратной стороне бланка тестирования с указанием номера задания).</w:t>
      </w:r>
    </w:p>
    <w:p>
      <w:pPr>
        <w:pStyle w:val="Normal"/>
        <w:tabs>
          <w:tab w:val="left" w:pos="426" w:leader="none"/>
        </w:tabs>
        <w:spacing w:before="0" w:after="0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>Задания с выбором ответа или кратким ответом оцениваются 1 или 2 баллами. Задания с развернутым ответом оцениваются от 1 до 3 баллов в соответствии с критериями оценивания. Примерное распределение заданий по проверяемым умениям представлено в таблицу 1.</w:t>
      </w:r>
    </w:p>
    <w:p>
      <w:pPr>
        <w:pStyle w:val="Normal"/>
        <w:tabs>
          <w:tab w:val="left" w:pos="426" w:leader="none"/>
          <w:tab w:val="left" w:pos="6495" w:leader="none"/>
        </w:tabs>
        <w:spacing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                      </w:t>
      </w:r>
    </w:p>
    <w:p>
      <w:pPr>
        <w:pStyle w:val="Normal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                                        </w:t>
      </w:r>
      <w:r>
        <w:br w:type="page"/>
      </w:r>
    </w:p>
    <w:p>
      <w:pPr>
        <w:pStyle w:val="Normal"/>
        <w:tabs>
          <w:tab w:val="left" w:pos="426" w:leader="none"/>
          <w:tab w:val="left" w:pos="6495" w:leader="none"/>
        </w:tabs>
        <w:spacing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t xml:space="preserve">  </w:t>
      </w:r>
      <w:r>
        <w:rPr>
          <w:rFonts w:cs="Times New Roman" w:ascii="Times New Roman" w:hAnsi="Times New Roman"/>
          <w:iCs/>
          <w:sz w:val="24"/>
          <w:szCs w:val="24"/>
        </w:rPr>
        <w:t>Таблица1</w:t>
      </w:r>
    </w:p>
    <w:p>
      <w:pPr>
        <w:pStyle w:val="Normal"/>
        <w:tabs>
          <w:tab w:val="left" w:pos="426" w:leader="none"/>
        </w:tabs>
        <w:spacing w:before="0" w:after="0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-71755</wp:posOffset>
                </wp:positionH>
                <wp:positionV relativeFrom="paragraph">
                  <wp:posOffset>635</wp:posOffset>
                </wp:positionV>
                <wp:extent cx="5469255" cy="587883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9255" cy="587883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a4"/>
                              <w:tblpPr w:bottomFromText="0" w:horzAnchor="text" w:leftFromText="180" w:rightFromText="180" w:tblpX="0" w:tblpY="1" w:topFromText="0" w:vertAnchor="text"/>
                              <w:tblW w:w="8613" w:type="dxa"/>
                              <w:jc w:val="left"/>
                              <w:tblInd w:w="108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685"/>
                              <w:gridCol w:w="4951"/>
                              <w:gridCol w:w="2977"/>
                            </w:tblGrid>
                            <w:tr>
                              <w:trPr/>
                              <w:tc>
                                <w:tcPr>
                                  <w:tcW w:w="68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426" w:leader="none"/>
                                    </w:tabs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Cs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426" w:leader="none"/>
                                    </w:tabs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Cs/>
                                      <w:sz w:val="24"/>
                                      <w:szCs w:val="24"/>
                                    </w:rPr>
                                    <w:t>Контролируемое УУД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426" w:leader="none"/>
                                    </w:tabs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Cs/>
                                      <w:sz w:val="24"/>
                                      <w:szCs w:val="24"/>
                                    </w:rPr>
                                    <w:t>Число заданий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8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426" w:leader="none"/>
                                    </w:tabs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426" w:leader="none"/>
                                    </w:tabs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Cs/>
                                      <w:sz w:val="24"/>
                                      <w:szCs w:val="24"/>
                                    </w:rPr>
                                    <w:t>Познавательные логические действия.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426" w:leader="none"/>
                                    </w:tabs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Cs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8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426" w:leader="none"/>
                                    </w:tabs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Cs/>
                                      <w:sz w:val="24"/>
                                      <w:szCs w:val="24"/>
                                    </w:rPr>
                                    <w:t>3.3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426" w:leader="none"/>
                                    </w:tabs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Cs/>
                                      <w:sz w:val="24"/>
                                      <w:szCs w:val="24"/>
                                    </w:rPr>
                                    <w:t>Выявлять черты сходства и различия, осуществлять сравнение.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426" w:leader="none"/>
                                    </w:tabs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8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426" w:leader="none"/>
                                    </w:tabs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Cs/>
                                      <w:sz w:val="24"/>
                                      <w:szCs w:val="24"/>
                                    </w:rPr>
                                    <w:t>3.5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426" w:leader="none"/>
                                    </w:tabs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Cs/>
                                      <w:sz w:val="24"/>
                                      <w:szCs w:val="24"/>
                                    </w:rPr>
                                    <w:t>Устанавливать причинно-следственные связи и давать объяснения на основе установленных причинно-следственных связей.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426" w:leader="none"/>
                                    </w:tabs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8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426" w:leader="none"/>
                                    </w:tabs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Cs/>
                                      <w:sz w:val="24"/>
                                      <w:szCs w:val="24"/>
                                    </w:rPr>
                                    <w:t>3.6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426" w:leader="none"/>
                                    </w:tabs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Cs/>
                                      <w:sz w:val="24"/>
                                      <w:szCs w:val="24"/>
                                    </w:rPr>
                                    <w:t>Устанавливать аналогии, строить логические рассуждения, умозаключения, делать выводы.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426" w:leader="none"/>
                                    </w:tabs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8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426" w:leader="none"/>
                                    </w:tabs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Cs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426" w:leader="none"/>
                                    </w:tabs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Cs/>
                                      <w:sz w:val="24"/>
                                      <w:szCs w:val="24"/>
                                    </w:rPr>
                                    <w:t>Познавательно знаково-символические действия.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426" w:leader="none"/>
                                    </w:tabs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8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426" w:leader="none"/>
                                    </w:tabs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Cs/>
                                      <w:sz w:val="24"/>
                                      <w:szCs w:val="24"/>
                                    </w:rPr>
                                    <w:t>4.1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426" w:leader="none"/>
                                    </w:tabs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Cs/>
                                      <w:sz w:val="24"/>
                                      <w:szCs w:val="24"/>
                                    </w:rPr>
                                    <w:t>Использовать знаково-символические (и художественно-графические) средства и модели при решении учебно-практических задач.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426" w:leader="none"/>
                                    </w:tabs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8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426" w:leader="none"/>
                                    </w:tabs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Cs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426" w:leader="none"/>
                                    </w:tabs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Cs/>
                                      <w:sz w:val="24"/>
                                      <w:szCs w:val="24"/>
                                    </w:rPr>
                                    <w:t>Познавательные действия по решению задач (проблем).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426" w:leader="none"/>
                                    </w:tabs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Cs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8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426" w:leader="none"/>
                                    </w:tabs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Cs/>
                                      <w:sz w:val="24"/>
                                      <w:szCs w:val="24"/>
                                    </w:rPr>
                                    <w:t>5.1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426" w:leader="none"/>
                                    </w:tabs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Cs/>
                                      <w:sz w:val="24"/>
                                      <w:szCs w:val="24"/>
                                    </w:rPr>
                                    <w:t>Владеть рядом общих приемов решения задач (проблем).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426" w:leader="none"/>
                                    </w:tabs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8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426" w:leader="none"/>
                                    </w:tabs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Cs/>
                                      <w:sz w:val="24"/>
                                      <w:szCs w:val="24"/>
                                    </w:rPr>
                                    <w:t>5.2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426" w:leader="none"/>
                                    </w:tabs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Cs/>
                                      <w:sz w:val="24"/>
                                      <w:szCs w:val="24"/>
                                    </w:rPr>
                                    <w:t>Проводить исследования                        (наблюдения, опыты и измерения).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426" w:leader="none"/>
                                    </w:tabs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Cs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8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426" w:leader="none"/>
                                    </w:tabs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Cs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426" w:leader="none"/>
                                    </w:tabs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Cs/>
                                      <w:sz w:val="24"/>
                                      <w:szCs w:val="24"/>
                                    </w:rPr>
                                    <w:t>Познавательные действия по работе с информацией и чтению.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426" w:leader="none"/>
                                    </w:tabs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Cs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8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426" w:leader="none"/>
                                    </w:tabs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Cs/>
                                      <w:sz w:val="24"/>
                                      <w:szCs w:val="24"/>
                                    </w:rPr>
                                    <w:t>6.2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426" w:leader="none"/>
                                    </w:tabs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Cs/>
                                      <w:sz w:val="24"/>
                                      <w:szCs w:val="24"/>
                                    </w:rPr>
                                    <w:t>Ориентироваться в содержании текста, отвечать на вопросы, используя явно заданную в тексте информацию.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426" w:leader="none"/>
                                    </w:tabs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Cs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8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426" w:leader="none"/>
                                    </w:tabs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Cs/>
                                      <w:sz w:val="24"/>
                                      <w:szCs w:val="24"/>
                                    </w:rPr>
                                    <w:t>6.3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426" w:leader="none"/>
                                    </w:tabs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Cs/>
                                      <w:sz w:val="24"/>
                                      <w:szCs w:val="24"/>
                                    </w:rPr>
                                    <w:t>Интерпретировать информацию, отвечать на вопросы используя неявно заданную информацию.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426" w:leader="none"/>
                                    </w:tabs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Cs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8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426" w:leader="none"/>
                                    </w:tabs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Cs/>
                                      <w:sz w:val="24"/>
                                      <w:szCs w:val="24"/>
                                    </w:rPr>
                                    <w:t>6.4</w:t>
                                  </w:r>
                                </w:p>
                              </w:tc>
                              <w:tc>
                                <w:tcPr>
                                  <w:tcW w:w="4951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426" w:leader="none"/>
                                    </w:tabs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Cs/>
                                      <w:sz w:val="24"/>
                                      <w:szCs w:val="24"/>
                                    </w:rPr>
                                    <w:t>Оценивать достоверность предложенной информации, высказывать оценочные суждения на основе текста.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426" w:leader="none"/>
                                    </w:tabs>
                                    <w:spacing w:lineRule="auto" w:line="240" w:before="0" w:after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iCs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30.65pt;height:462.9pt;mso-wrap-distance-left:9pt;mso-wrap-distance-right:9pt;mso-wrap-distance-top:0pt;mso-wrap-distance-bottom:0pt;margin-top:0.05pt;mso-position-vertical-relative:text;margin-left:-5.65pt;mso-position-horizontal-relative:text">
                <v:textbox inset="0in,0in,0in,0in">
                  <w:txbxContent>
                    <w:tbl>
                      <w:tblPr>
                        <w:tblStyle w:val="a4"/>
                        <w:tblpPr w:bottomFromText="0" w:horzAnchor="text" w:leftFromText="180" w:rightFromText="180" w:tblpX="0" w:tblpY="1" w:topFromText="0" w:vertAnchor="text"/>
                        <w:tblW w:w="8613" w:type="dxa"/>
                        <w:jc w:val="left"/>
                        <w:tblInd w:w="108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685"/>
                        <w:gridCol w:w="4951"/>
                        <w:gridCol w:w="2977"/>
                      </w:tblGrid>
                      <w:tr>
                        <w:trPr/>
                        <w:tc>
                          <w:tcPr>
                            <w:tcW w:w="68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426" w:leader="none"/>
                              </w:tabs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Cs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W w:w="495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426" w:leader="none"/>
                              </w:tabs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Cs/>
                                <w:sz w:val="24"/>
                                <w:szCs w:val="24"/>
                              </w:rPr>
                              <w:t>Контролируемое УУД</w:t>
                            </w:r>
                          </w:p>
                        </w:tc>
                        <w:tc>
                          <w:tcPr>
                            <w:tcW w:w="297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426" w:leader="none"/>
                              </w:tabs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Cs/>
                                <w:sz w:val="24"/>
                                <w:szCs w:val="24"/>
                              </w:rPr>
                              <w:t>Число заданий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8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426" w:leader="none"/>
                              </w:tabs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95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426" w:leader="none"/>
                              </w:tabs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Cs/>
                                <w:sz w:val="24"/>
                                <w:szCs w:val="24"/>
                              </w:rPr>
                              <w:t>Познавательные логические действия.</w:t>
                            </w:r>
                          </w:p>
                        </w:tc>
                        <w:tc>
                          <w:tcPr>
                            <w:tcW w:w="297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426" w:leader="none"/>
                              </w:tabs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Cs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8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426" w:leader="none"/>
                              </w:tabs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Cs/>
                                <w:sz w:val="24"/>
                                <w:szCs w:val="24"/>
                              </w:rPr>
                              <w:t>3.3</w:t>
                            </w:r>
                          </w:p>
                        </w:tc>
                        <w:tc>
                          <w:tcPr>
                            <w:tcW w:w="495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426" w:leader="none"/>
                              </w:tabs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Cs/>
                                <w:sz w:val="24"/>
                                <w:szCs w:val="24"/>
                              </w:rPr>
                              <w:t>Выявлять черты сходства и различия, осуществлять сравнение.</w:t>
                            </w:r>
                          </w:p>
                        </w:tc>
                        <w:tc>
                          <w:tcPr>
                            <w:tcW w:w="297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426" w:leader="none"/>
                              </w:tabs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8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426" w:leader="none"/>
                              </w:tabs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Cs/>
                                <w:sz w:val="24"/>
                                <w:szCs w:val="24"/>
                              </w:rPr>
                              <w:t>3.5</w:t>
                            </w:r>
                          </w:p>
                        </w:tc>
                        <w:tc>
                          <w:tcPr>
                            <w:tcW w:w="495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426" w:leader="none"/>
                              </w:tabs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Cs/>
                                <w:sz w:val="24"/>
                                <w:szCs w:val="24"/>
                              </w:rPr>
                              <w:t>Устанавливать причинно-следственные связи и давать объяснения на основе установленных причинно-следственных связей.</w:t>
                            </w:r>
                          </w:p>
                        </w:tc>
                        <w:tc>
                          <w:tcPr>
                            <w:tcW w:w="297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426" w:leader="none"/>
                              </w:tabs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8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426" w:leader="none"/>
                              </w:tabs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Cs/>
                                <w:sz w:val="24"/>
                                <w:szCs w:val="24"/>
                              </w:rPr>
                              <w:t>3.6</w:t>
                            </w:r>
                          </w:p>
                        </w:tc>
                        <w:tc>
                          <w:tcPr>
                            <w:tcW w:w="495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426" w:leader="none"/>
                              </w:tabs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Cs/>
                                <w:sz w:val="24"/>
                                <w:szCs w:val="24"/>
                              </w:rPr>
                              <w:t>Устанавливать аналогии, строить логические рассуждения, умозаключения, делать выводы.</w:t>
                            </w:r>
                          </w:p>
                        </w:tc>
                        <w:tc>
                          <w:tcPr>
                            <w:tcW w:w="297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426" w:leader="none"/>
                              </w:tabs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8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426" w:leader="none"/>
                              </w:tabs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95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426" w:leader="none"/>
                              </w:tabs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Cs/>
                                <w:sz w:val="24"/>
                                <w:szCs w:val="24"/>
                              </w:rPr>
                              <w:t>Познавательно знаково-символические действия.</w:t>
                            </w:r>
                          </w:p>
                        </w:tc>
                        <w:tc>
                          <w:tcPr>
                            <w:tcW w:w="297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426" w:leader="none"/>
                              </w:tabs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8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426" w:leader="none"/>
                              </w:tabs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Cs/>
                                <w:sz w:val="24"/>
                                <w:szCs w:val="24"/>
                              </w:rPr>
                              <w:t>4.1</w:t>
                            </w:r>
                          </w:p>
                        </w:tc>
                        <w:tc>
                          <w:tcPr>
                            <w:tcW w:w="495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426" w:leader="none"/>
                              </w:tabs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Cs/>
                                <w:sz w:val="24"/>
                                <w:szCs w:val="24"/>
                              </w:rPr>
                              <w:t>Использовать знаково-символические (и художественно-графические) средства и модели при решении учебно-практических задач.</w:t>
                            </w:r>
                          </w:p>
                        </w:tc>
                        <w:tc>
                          <w:tcPr>
                            <w:tcW w:w="297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426" w:leader="none"/>
                              </w:tabs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8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426" w:leader="none"/>
                              </w:tabs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Cs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95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426" w:leader="none"/>
                              </w:tabs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Cs/>
                                <w:sz w:val="24"/>
                                <w:szCs w:val="24"/>
                              </w:rPr>
                              <w:t>Познавательные действия по решению задач (проблем).</w:t>
                            </w:r>
                          </w:p>
                        </w:tc>
                        <w:tc>
                          <w:tcPr>
                            <w:tcW w:w="297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426" w:leader="none"/>
                              </w:tabs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Cs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8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426" w:leader="none"/>
                              </w:tabs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Cs/>
                                <w:sz w:val="24"/>
                                <w:szCs w:val="24"/>
                              </w:rPr>
                              <w:t>5.1</w:t>
                            </w:r>
                          </w:p>
                        </w:tc>
                        <w:tc>
                          <w:tcPr>
                            <w:tcW w:w="495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426" w:leader="none"/>
                              </w:tabs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Cs/>
                                <w:sz w:val="24"/>
                                <w:szCs w:val="24"/>
                              </w:rPr>
                              <w:t>Владеть рядом общих приемов решения задач (проблем).</w:t>
                            </w:r>
                          </w:p>
                        </w:tc>
                        <w:tc>
                          <w:tcPr>
                            <w:tcW w:w="297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426" w:leader="none"/>
                              </w:tabs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8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426" w:leader="none"/>
                              </w:tabs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Cs/>
                                <w:sz w:val="24"/>
                                <w:szCs w:val="24"/>
                              </w:rPr>
                              <w:t>5.2</w:t>
                            </w:r>
                          </w:p>
                        </w:tc>
                        <w:tc>
                          <w:tcPr>
                            <w:tcW w:w="495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426" w:leader="none"/>
                              </w:tabs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Cs/>
                                <w:sz w:val="24"/>
                                <w:szCs w:val="24"/>
                              </w:rPr>
                              <w:t>Проводить исследования                        (наблюдения, опыты и измерения).</w:t>
                            </w:r>
                          </w:p>
                        </w:tc>
                        <w:tc>
                          <w:tcPr>
                            <w:tcW w:w="297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426" w:leader="none"/>
                              </w:tabs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Cs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8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426" w:leader="none"/>
                              </w:tabs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95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426" w:leader="none"/>
                              </w:tabs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Cs/>
                                <w:sz w:val="24"/>
                                <w:szCs w:val="24"/>
                              </w:rPr>
                              <w:t>Познавательные действия по работе с информацией и чтению.</w:t>
                            </w:r>
                          </w:p>
                        </w:tc>
                        <w:tc>
                          <w:tcPr>
                            <w:tcW w:w="297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426" w:leader="none"/>
                              </w:tabs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Cs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8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426" w:leader="none"/>
                              </w:tabs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Cs/>
                                <w:sz w:val="24"/>
                                <w:szCs w:val="24"/>
                              </w:rPr>
                              <w:t>6.2</w:t>
                            </w:r>
                          </w:p>
                        </w:tc>
                        <w:tc>
                          <w:tcPr>
                            <w:tcW w:w="495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426" w:leader="none"/>
                              </w:tabs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Cs/>
                                <w:sz w:val="24"/>
                                <w:szCs w:val="24"/>
                              </w:rPr>
                              <w:t>Ориентироваться в содержании текста, отвечать на вопросы, используя явно заданную в тексте информацию.</w:t>
                            </w:r>
                          </w:p>
                        </w:tc>
                        <w:tc>
                          <w:tcPr>
                            <w:tcW w:w="297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426" w:leader="none"/>
                              </w:tabs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Cs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8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426" w:leader="none"/>
                              </w:tabs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Cs/>
                                <w:sz w:val="24"/>
                                <w:szCs w:val="24"/>
                              </w:rPr>
                              <w:t>6.3</w:t>
                            </w:r>
                          </w:p>
                        </w:tc>
                        <w:tc>
                          <w:tcPr>
                            <w:tcW w:w="495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426" w:leader="none"/>
                              </w:tabs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Cs/>
                                <w:sz w:val="24"/>
                                <w:szCs w:val="24"/>
                              </w:rPr>
                              <w:t>Интерпретировать информацию, отвечать на вопросы используя неявно заданную информацию.</w:t>
                            </w:r>
                          </w:p>
                        </w:tc>
                        <w:tc>
                          <w:tcPr>
                            <w:tcW w:w="297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426" w:leader="none"/>
                              </w:tabs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Cs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8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426" w:leader="none"/>
                              </w:tabs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Cs/>
                                <w:sz w:val="24"/>
                                <w:szCs w:val="24"/>
                              </w:rPr>
                              <w:t>6.4</w:t>
                            </w:r>
                          </w:p>
                        </w:tc>
                        <w:tc>
                          <w:tcPr>
                            <w:tcW w:w="4951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426" w:leader="none"/>
                              </w:tabs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Cs/>
                                <w:sz w:val="24"/>
                                <w:szCs w:val="24"/>
                              </w:rPr>
                              <w:t>Оценивать достоверность предложенной информации, высказывать оценочные суждения на основе текста.</w:t>
                            </w:r>
                          </w:p>
                        </w:tc>
                        <w:tc>
                          <w:tcPr>
                            <w:tcW w:w="2977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tabs>
                                <w:tab w:val="left" w:pos="426" w:leader="none"/>
                              </w:tabs>
                              <w:spacing w:lineRule="auto" w:line="240" w:before="0" w:after="0"/>
                              <w:jc w:val="both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iCs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426" w:leader="none"/>
        </w:tabs>
        <w:spacing w:before="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</w:r>
    </w:p>
    <w:p>
      <w:pPr>
        <w:pStyle w:val="Normal"/>
        <w:ind w:firstLine="426"/>
        <w:jc w:val="both"/>
        <w:rPr>
          <w:rFonts w:ascii="Georgia" w:hAnsi="Georgia"/>
          <w:iCs/>
          <w:sz w:val="24"/>
          <w:szCs w:val="24"/>
        </w:rPr>
      </w:pPr>
      <w:r>
        <w:rPr>
          <w:rFonts w:cs="Times New Roman" w:ascii="Times New Roman" w:hAnsi="Times New Roman"/>
          <w:iCs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 xml:space="preserve">Структура диагностической работы обеспечивала возможности </w:t>
      </w:r>
      <w:r>
        <w:rPr>
          <w:rFonts w:ascii="Georgia" w:hAnsi="Georgia"/>
          <w:iCs/>
          <w:sz w:val="24"/>
          <w:szCs w:val="24"/>
        </w:rPr>
        <w:t>выявления индивидуального уровня сформированности метапредметных умений.</w:t>
      </w:r>
    </w:p>
    <w:p>
      <w:pPr>
        <w:pStyle w:val="Normal"/>
        <w:jc w:val="both"/>
        <w:rPr>
          <w:rFonts w:ascii="Georgia" w:hAnsi="Georgia"/>
          <w:iCs/>
          <w:sz w:val="24"/>
          <w:szCs w:val="24"/>
        </w:rPr>
      </w:pPr>
      <w:r>
        <w:rPr>
          <w:rFonts w:ascii="Georgia" w:hAnsi="Georgia"/>
          <w:iCs/>
          <w:sz w:val="24"/>
          <w:szCs w:val="24"/>
        </w:rPr>
        <w:t>Максимальное количество баллов-27.</w:t>
      </w:r>
    </w:p>
    <w:p>
      <w:pPr>
        <w:pStyle w:val="Normal"/>
        <w:spacing w:before="0" w:after="0"/>
        <w:jc w:val="both"/>
        <w:rPr>
          <w:rFonts w:ascii="Georgia" w:hAnsi="Georgia"/>
          <w:iCs/>
          <w:sz w:val="24"/>
          <w:szCs w:val="24"/>
        </w:rPr>
      </w:pPr>
      <w:r>
        <w:rPr>
          <w:rFonts w:ascii="Georgia" w:hAnsi="Georgia"/>
          <w:iCs/>
          <w:sz w:val="24"/>
          <w:szCs w:val="24"/>
        </w:rPr>
        <w:t>Установлены следующие уровни сформированности проверяемых УУД:</w:t>
      </w:r>
    </w:p>
    <w:p>
      <w:pPr>
        <w:pStyle w:val="Normal"/>
        <w:spacing w:before="0" w:after="0"/>
        <w:jc w:val="both"/>
        <w:rPr>
          <w:rFonts w:ascii="Georgia" w:hAnsi="Georgia"/>
          <w:iCs/>
          <w:sz w:val="24"/>
          <w:szCs w:val="24"/>
        </w:rPr>
      </w:pPr>
      <w:r>
        <w:rPr>
          <w:rFonts w:ascii="Georgia" w:hAnsi="Georgia"/>
          <w:iCs/>
          <w:sz w:val="24"/>
          <w:szCs w:val="24"/>
        </w:rPr>
        <w:t>0-9 баллов – низкий уровень;</w:t>
      </w:r>
    </w:p>
    <w:p>
      <w:pPr>
        <w:pStyle w:val="Normal"/>
        <w:spacing w:before="0" w:after="0"/>
        <w:jc w:val="both"/>
        <w:rPr>
          <w:rFonts w:ascii="Georgia" w:hAnsi="Georgia"/>
          <w:iCs/>
          <w:sz w:val="24"/>
          <w:szCs w:val="24"/>
        </w:rPr>
      </w:pPr>
      <w:r>
        <w:rPr>
          <w:rFonts w:ascii="Georgia" w:hAnsi="Georgia"/>
          <w:iCs/>
          <w:sz w:val="24"/>
          <w:szCs w:val="24"/>
        </w:rPr>
        <w:t>10-20 баллов – базовый  уровень;</w:t>
      </w:r>
    </w:p>
    <w:p>
      <w:pPr>
        <w:pStyle w:val="Normal"/>
        <w:spacing w:before="0" w:after="0"/>
        <w:jc w:val="both"/>
        <w:rPr>
          <w:rFonts w:ascii="Georgia" w:hAnsi="Georgia"/>
          <w:iCs/>
          <w:sz w:val="24"/>
          <w:szCs w:val="24"/>
        </w:rPr>
      </w:pPr>
      <w:r>
        <w:rPr>
          <w:rFonts w:ascii="Georgia" w:hAnsi="Georgia"/>
          <w:iCs/>
          <w:sz w:val="24"/>
          <w:szCs w:val="24"/>
        </w:rPr>
        <w:t>21-24  баллов –  хороший уровень;</w:t>
      </w:r>
    </w:p>
    <w:p>
      <w:pPr>
        <w:pStyle w:val="Normal"/>
        <w:spacing w:before="0"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iCs/>
          <w:sz w:val="24"/>
          <w:szCs w:val="24"/>
        </w:rPr>
        <w:t>25-27 баллов –  высокий уровень;</w:t>
      </w:r>
    </w:p>
    <w:p>
      <w:pPr>
        <w:pStyle w:val="ListParagraph"/>
        <w:ind w:left="0" w:hanging="0"/>
        <w:rPr>
          <w:rFonts w:ascii="Georgia" w:hAnsi="Georgia"/>
        </w:rPr>
      </w:pPr>
      <w:r>
        <w:rPr>
          <w:rFonts w:ascii="Georgia" w:hAnsi="Georgia"/>
        </w:rPr>
        <w:tab/>
      </w:r>
    </w:p>
    <w:p>
      <w:pPr>
        <w:pStyle w:val="Style25"/>
        <w:tabs>
          <w:tab w:val="left" w:pos="426" w:leader="none"/>
        </w:tabs>
        <w:spacing w:before="0" w:after="0"/>
        <w:ind w:left="0" w:firstLine="426"/>
        <w:jc w:val="both"/>
        <w:rPr>
          <w:rFonts w:ascii="Georgia" w:hAnsi="Georgia"/>
        </w:rPr>
      </w:pPr>
      <w:r>
        <w:rPr>
          <w:rFonts w:ascii="Georgia" w:hAnsi="Georgia"/>
          <w:b/>
        </w:rPr>
        <w:t>Низкий  уровень</w:t>
      </w:r>
      <w:r>
        <w:rPr>
          <w:rFonts w:ascii="Georgia" w:hAnsi="Georgia"/>
        </w:rPr>
        <w:t xml:space="preserve"> показывает, что учащийся узнает отдельные изученные способы действий, но умеет применять их лишь для известных типовых ситуаций, т.е. действует на уровне простого воспроизведения действия. Учащийся с низким уровнем может испытывать серьезные трудности в дальнейшем процессе обучения, ему необходимы компенсирующие  занятия по освоению всего  спектра УУД.</w:t>
      </w:r>
    </w:p>
    <w:p>
      <w:pPr>
        <w:pStyle w:val="Style25"/>
        <w:tabs>
          <w:tab w:val="left" w:pos="426" w:leader="none"/>
        </w:tabs>
        <w:spacing w:before="0" w:after="0"/>
        <w:ind w:left="0" w:firstLine="426"/>
        <w:jc w:val="both"/>
        <w:rPr>
          <w:rFonts w:ascii="Georgia" w:hAnsi="Georgia"/>
        </w:rPr>
      </w:pPr>
      <w:r>
        <w:rPr>
          <w:rFonts w:ascii="Georgia" w:hAnsi="Georgia"/>
          <w:b/>
        </w:rPr>
        <w:t>Базовый  уровень</w:t>
      </w:r>
      <w:r>
        <w:rPr>
          <w:rFonts w:ascii="Georgia" w:hAnsi="Georgia"/>
        </w:rPr>
        <w:t xml:space="preserve"> говорит о том, что учащийся справляется с применением проверяемых способов деятельности в несложных ситуациях, осмысленно использует изученные алгоритмы действий на уровне их комбинирования в знакомой ситуации. При фиксации данного уровня необходим анализ выполнения учащимся каждой группы заданий с  целью выявления трудностей в освоении тех или иных способов действий и проведения соответствующей целенаправленной коррекции.</w:t>
      </w:r>
    </w:p>
    <w:p>
      <w:pPr>
        <w:pStyle w:val="Style25"/>
        <w:tabs>
          <w:tab w:val="left" w:pos="426" w:leader="none"/>
        </w:tabs>
        <w:spacing w:before="0" w:after="0"/>
        <w:ind w:left="0" w:firstLine="426"/>
        <w:jc w:val="both"/>
        <w:rPr>
          <w:rFonts w:ascii="Georgia" w:hAnsi="Georgia"/>
        </w:rPr>
      </w:pPr>
      <w:r>
        <w:rPr>
          <w:rFonts w:ascii="Georgia" w:hAnsi="Georgia"/>
          <w:b/>
        </w:rPr>
        <w:t>Хороший  уровень</w:t>
      </w:r>
      <w:r>
        <w:rPr>
          <w:rFonts w:ascii="Georgia" w:hAnsi="Georgia"/>
        </w:rPr>
        <w:t xml:space="preserve"> показывает, что учащиеся достаточно свободно владеют проверяемыми способами деятельности, осмысленно используют алгоритмы на уровне их комбинирования, однако испытывают затруднения при применении их в новой ситуации, а так же при составлении собственных планов решения учебных задач. </w:t>
      </w:r>
    </w:p>
    <w:p>
      <w:pPr>
        <w:pStyle w:val="Style25"/>
        <w:tabs>
          <w:tab w:val="left" w:pos="426" w:leader="none"/>
        </w:tabs>
        <w:spacing w:before="0" w:after="0"/>
        <w:ind w:left="0" w:firstLine="426"/>
        <w:jc w:val="both"/>
        <w:rPr>
          <w:rFonts w:ascii="Georgia" w:hAnsi="Georgia"/>
          <w:bCs/>
        </w:rPr>
      </w:pPr>
      <w:r>
        <w:rPr>
          <w:rFonts w:ascii="Georgia" w:hAnsi="Georgia"/>
          <w:b/>
        </w:rPr>
        <w:t xml:space="preserve">Высокий  уровень </w:t>
      </w:r>
      <w:r>
        <w:rPr>
          <w:rFonts w:ascii="Georgia" w:hAnsi="Georgia"/>
          <w:bCs/>
        </w:rPr>
        <w:t>показывает, что учащиеся  достаточно свободно владеют проверяемыми способами деятельности, могут комбинировать изученные алгоритмы в соответствии с требованиями новой ситуации, составлять собственные планы решения учебных задач.</w:t>
      </w:r>
    </w:p>
    <w:p>
      <w:pPr>
        <w:pStyle w:val="Normal"/>
        <w:ind w:firstLine="426"/>
        <w:jc w:val="both"/>
        <w:rPr>
          <w:rFonts w:ascii="Georgia" w:hAnsi="Georgia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результатам диагностики определялись  3 уровня овладения  учащимися 10 класса  спектром проверяемых  метапредметных УУД: базовый, хороший, высокий (см. табл. 2).  Учащихся, показавших низкий уровень, нет.</w:t>
      </w:r>
    </w:p>
    <w:p>
      <w:pPr>
        <w:pStyle w:val="Normal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Таблица 2</w:t>
      </w:r>
    </w:p>
    <w:tbl>
      <w:tblPr>
        <w:tblW w:w="9997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40" w:type="dxa"/>
          <w:bottom w:w="0" w:type="dxa"/>
          <w:right w:w="40" w:type="dxa"/>
        </w:tblCellMar>
        <w:tblLook w:val="0000"/>
      </w:tblPr>
      <w:tblGrid>
        <w:gridCol w:w="1208"/>
        <w:gridCol w:w="1844"/>
        <w:gridCol w:w="1559"/>
        <w:gridCol w:w="1560"/>
        <w:gridCol w:w="1276"/>
        <w:gridCol w:w="1277"/>
        <w:gridCol w:w="1272"/>
      </w:tblGrid>
      <w:tr>
        <w:trPr>
          <w:trHeight w:val="1539" w:hRule="atLeast"/>
        </w:trPr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Georgia" w:hAnsi="Georgia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Georgia" w:hAnsi="Georgia"/>
                <w:b/>
                <w:i/>
                <w:sz w:val="24"/>
                <w:szCs w:val="24"/>
              </w:rPr>
              <w:t>Всего в 10 классе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Georgia" w:hAnsi="Georgia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Georgia" w:hAnsi="Georgia"/>
                <w:b/>
                <w:i/>
                <w:sz w:val="24"/>
                <w:szCs w:val="24"/>
              </w:rPr>
              <w:t>Количество</w:t>
            </w:r>
          </w:p>
          <w:p>
            <w:pPr>
              <w:pStyle w:val="Normal"/>
              <w:spacing w:before="0" w:after="0"/>
              <w:rPr>
                <w:rFonts w:ascii="Georgia" w:hAnsi="Georgia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Georgia" w:hAnsi="Georgia"/>
                <w:b/>
                <w:i/>
                <w:sz w:val="24"/>
                <w:szCs w:val="24"/>
              </w:rPr>
              <w:t>обучающихся,</w:t>
            </w:r>
          </w:p>
          <w:p>
            <w:pPr>
              <w:pStyle w:val="Normal"/>
              <w:tabs>
                <w:tab w:val="left" w:pos="426" w:leader="none"/>
              </w:tabs>
              <w:spacing w:before="0" w:after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Georgia" w:hAnsi="Georgia"/>
                <w:b/>
                <w:i/>
                <w:sz w:val="24"/>
                <w:szCs w:val="24"/>
              </w:rPr>
              <w:t>выполнивших работу</w:t>
            </w:r>
          </w:p>
          <w:p>
            <w:pPr>
              <w:pStyle w:val="Normal"/>
              <w:spacing w:before="0" w:after="0"/>
              <w:rPr>
                <w:rFonts w:ascii="Georgia" w:hAnsi="Georgia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Georgia" w:hAnsi="Georgia"/>
                <w:b/>
                <w:i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Georgia" w:hAnsi="Georgia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Georgia" w:hAnsi="Georgia"/>
                <w:b/>
                <w:i/>
                <w:sz w:val="24"/>
                <w:szCs w:val="24"/>
              </w:rPr>
              <w:t>Уровень подготовки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Georgia" w:hAnsi="Georgia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Georgia" w:hAnsi="Georgia"/>
                <w:b/>
                <w:i/>
                <w:sz w:val="24"/>
                <w:szCs w:val="24"/>
              </w:rPr>
              <w:t>Низкий уровень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Georgia" w:hAnsi="Georgia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Georgia" w:hAnsi="Georgia"/>
                <w:b/>
                <w:i/>
                <w:sz w:val="24"/>
                <w:szCs w:val="24"/>
              </w:rPr>
              <w:t>Базовый уровень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0"/>
              <w:rPr>
                <w:rFonts w:ascii="Georgia" w:hAnsi="Georgia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Georgia" w:hAnsi="Georgia"/>
                <w:b/>
                <w:i/>
                <w:sz w:val="24"/>
                <w:szCs w:val="24"/>
              </w:rPr>
              <w:t>Хороший</w:t>
            </w:r>
          </w:p>
          <w:p>
            <w:pPr>
              <w:pStyle w:val="Normal"/>
              <w:spacing w:before="0" w:after="0"/>
              <w:jc w:val="center"/>
              <w:rPr>
                <w:rFonts w:ascii="Georgia" w:hAnsi="Georgia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Georgia" w:hAnsi="Georgia"/>
                <w:b/>
                <w:i/>
                <w:sz w:val="24"/>
                <w:szCs w:val="24"/>
              </w:rPr>
              <w:t>уровень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Georgia" w:hAnsi="Georgia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Georgia" w:hAnsi="Georgia"/>
                <w:b/>
                <w:i/>
                <w:sz w:val="24"/>
                <w:szCs w:val="24"/>
              </w:rPr>
              <w:t>Высокий</w:t>
            </w:r>
          </w:p>
          <w:p>
            <w:pPr>
              <w:pStyle w:val="Normal"/>
              <w:spacing w:before="0" w:after="0"/>
              <w:jc w:val="center"/>
              <w:rPr>
                <w:rFonts w:ascii="Georgia" w:hAnsi="Georgia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Georgia" w:hAnsi="Georgia"/>
                <w:b/>
                <w:i/>
                <w:sz w:val="24"/>
                <w:szCs w:val="24"/>
              </w:rPr>
              <w:t>уровень</w:t>
            </w:r>
          </w:p>
        </w:tc>
      </w:tr>
      <w:tr>
        <w:trPr>
          <w:trHeight w:val="324" w:hRule="atLeast"/>
        </w:trPr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ind w:firstLine="1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Процент выполнения 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задания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менее 0 %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0-9б.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41,6%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(10-20 б.)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25%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(21 – 24 б.)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33,3%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(25-27 б.)</w:t>
            </w:r>
          </w:p>
        </w:tc>
      </w:tr>
      <w:tr>
        <w:trPr>
          <w:trHeight w:val="324" w:hRule="atLeast"/>
        </w:trPr>
        <w:tc>
          <w:tcPr>
            <w:tcW w:w="12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20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40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</w:tr>
    </w:tbl>
    <w:p>
      <w:pPr>
        <w:pStyle w:val="ListParagraph"/>
        <w:ind w:left="0" w:hanging="0"/>
        <w:jc w:val="center"/>
        <w:rPr>
          <w:rFonts w:ascii="Georgia" w:hAnsi="Georgia"/>
          <w:b/>
          <w:b/>
        </w:rPr>
      </w:pPr>
      <w:r>
        <w:rPr>
          <w:rFonts w:ascii="Georgia" w:hAnsi="Georgia"/>
          <w:b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Из  13 учащихся 10 класса  мониторинговое исследование прошли 12 человек, что составляет 92,3 % от общего количества. По результатам выполнения средний балл составил </w:t>
      </w:r>
      <w:r>
        <w:rPr>
          <w:rFonts w:cs="Times New Roman" w:ascii="Times New Roman" w:hAnsi="Times New Roman"/>
          <w:b/>
          <w:sz w:val="24"/>
          <w:szCs w:val="24"/>
        </w:rPr>
        <w:t xml:space="preserve">22 </w:t>
      </w:r>
      <w:r>
        <w:rPr>
          <w:rFonts w:cs="Times New Roman" w:ascii="Times New Roman" w:hAnsi="Times New Roman"/>
          <w:sz w:val="24"/>
          <w:szCs w:val="24"/>
        </w:rPr>
        <w:t xml:space="preserve">балла, а средняя  отметка- </w:t>
      </w:r>
      <w:r>
        <w:rPr>
          <w:rFonts w:cs="Times New Roman" w:ascii="Times New Roman" w:hAnsi="Times New Roman"/>
          <w:b/>
          <w:sz w:val="24"/>
          <w:szCs w:val="24"/>
        </w:rPr>
        <w:t>3,9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sectPr>
          <w:footerReference w:type="default" r:id="rId2"/>
          <w:type w:val="nextPage"/>
          <w:pgSz w:w="11906" w:h="16838"/>
          <w:pgMar w:left="1701" w:right="850" w:header="0" w:top="426" w:footer="708" w:bottom="1134" w:gutter="0"/>
          <w:pgNumType w:fmt="decimal"/>
          <w:formProt w:val="false"/>
          <w:textDirection w:val="lrTb"/>
          <w:docGrid w:type="default" w:linePitch="360" w:charSpace="4294965247"/>
        </w:sectPr>
        <w:pStyle w:val="Normal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 xml:space="preserve">            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4"/>
        <w:tblpPr w:bottomFromText="0" w:horzAnchor="margin" w:leftFromText="180" w:rightFromText="180" w:tblpX="0" w:tblpXSpec="center" w:tblpY="3376" w:topFromText="0" w:vertAnchor="page"/>
        <w:tblW w:w="15276" w:type="dxa"/>
        <w:jc w:val="center"/>
        <w:tblInd w:w="0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34"/>
        <w:gridCol w:w="2409"/>
        <w:gridCol w:w="426"/>
        <w:gridCol w:w="425"/>
        <w:gridCol w:w="425"/>
        <w:gridCol w:w="424"/>
        <w:gridCol w:w="567"/>
        <w:gridCol w:w="426"/>
        <w:gridCol w:w="425"/>
        <w:gridCol w:w="425"/>
        <w:gridCol w:w="424"/>
        <w:gridCol w:w="567"/>
        <w:gridCol w:w="567"/>
        <w:gridCol w:w="567"/>
        <w:gridCol w:w="566"/>
        <w:gridCol w:w="567"/>
        <w:gridCol w:w="567"/>
        <w:gridCol w:w="567"/>
        <w:gridCol w:w="566"/>
        <w:gridCol w:w="567"/>
        <w:gridCol w:w="567"/>
        <w:gridCol w:w="566"/>
        <w:gridCol w:w="5"/>
        <w:gridCol w:w="846"/>
        <w:gridCol w:w="5"/>
        <w:gridCol w:w="1272"/>
      </w:tblGrid>
      <w:tr>
        <w:trPr>
          <w:trHeight w:val="105" w:hRule="atLeast"/>
        </w:trPr>
        <w:tc>
          <w:tcPr>
            <w:tcW w:w="534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0206" w:type="dxa"/>
            <w:gridSpan w:val="21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851" w:type="dxa"/>
            <w:gridSpan w:val="2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127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>
        <w:trPr>
          <w:trHeight w:val="480" w:hRule="atLeast"/>
        </w:trPr>
        <w:tc>
          <w:tcPr>
            <w:tcW w:w="534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2409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С1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С2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С3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С4</w:t>
            </w:r>
          </w:p>
        </w:tc>
        <w:tc>
          <w:tcPr>
            <w:tcW w:w="5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С5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С6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С7</w:t>
            </w:r>
          </w:p>
        </w:tc>
        <w:tc>
          <w:tcPr>
            <w:tcW w:w="5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С8</w:t>
            </w:r>
          </w:p>
        </w:tc>
        <w:tc>
          <w:tcPr>
            <w:tcW w:w="851" w:type="dxa"/>
            <w:gridSpan w:val="2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127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Биганова Меги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Мерабовнаа</w:t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хороший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Габараева Салимат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базовый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Габуев Хетаг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Дзамолатович</w:t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базовый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Гауева Изабелла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Дзамболатовна</w:t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2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5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базовый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Джатиева Сабрина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Аликовна</w:t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высокий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Джигкаев Даниил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хороший</w:t>
            </w:r>
          </w:p>
        </w:tc>
      </w:tr>
      <w:tr>
        <w:trPr/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Джигкаева Софья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gridSpan w:val="2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127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хороший</w:t>
            </w:r>
          </w:p>
        </w:tc>
      </w:tr>
      <w:tr>
        <w:trPr>
          <w:trHeight w:val="450" w:hRule="atLeast"/>
        </w:trPr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Джиоева Изабелла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Ибрагимовна</w:t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высокий</w:t>
            </w:r>
          </w:p>
        </w:tc>
      </w:tr>
      <w:tr>
        <w:trPr>
          <w:trHeight w:val="450" w:hRule="atLeast"/>
        </w:trPr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Дзукаева Ксения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Эльбрусовна</w:t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высокий</w:t>
            </w:r>
          </w:p>
        </w:tc>
      </w:tr>
      <w:tr>
        <w:trPr>
          <w:trHeight w:val="450" w:hRule="atLeast"/>
        </w:trPr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Ханикаева Кристина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высокий</w:t>
            </w:r>
          </w:p>
        </w:tc>
      </w:tr>
      <w:tr>
        <w:trPr>
          <w:trHeight w:val="450" w:hRule="atLeast"/>
        </w:trPr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Хугаев Сослан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Вадимович</w:t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базовый</w:t>
            </w:r>
          </w:p>
        </w:tc>
      </w:tr>
      <w:tr>
        <w:trPr>
          <w:trHeight w:val="450" w:hRule="atLeast"/>
        </w:trPr>
        <w:tc>
          <w:tcPr>
            <w:tcW w:w="53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Цховребов Олег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Вадимович</w:t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/>
            <w:shd w:color="auto"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7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базовый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Результаты  диагностики достижения метапредметных (познавательных) умений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 10 классе МБОУ «Средняя общеобразовательная школа №1им. Д.Хугаева с. Ногир 16.04.2021 уч.г.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margin">
                  <wp:align>center</wp:align>
                </wp:positionH>
                <wp:positionV relativeFrom="paragraph">
                  <wp:posOffset>127635</wp:posOffset>
                </wp:positionV>
                <wp:extent cx="6496050" cy="7469505"/>
                <wp:effectExtent l="0" t="0" r="0" b="0"/>
                <wp:wrapSquare wrapText="bothSides"/>
                <wp:docPr id="2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746950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Style w:val="a4"/>
                              <w:tblpPr w:bottomFromText="0" w:horzAnchor="margin" w:leftFromText="180" w:rightFromText="180" w:tblpX="0" w:tblpXSpec="center" w:tblpY="201" w:topFromText="0" w:vertAnchor="text"/>
                              <w:tblW w:w="10230" w:type="dxa"/>
                              <w:jc w:val="center"/>
                              <w:tblInd w:w="0" w:type="dxa"/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4a0"/>
                            </w:tblPr>
                            <w:tblGrid>
                              <w:gridCol w:w="679"/>
                              <w:gridCol w:w="6545"/>
                              <w:gridCol w:w="1020"/>
                              <w:gridCol w:w="993"/>
                              <w:gridCol w:w="993"/>
                            </w:tblGrid>
                            <w:tr>
                              <w:trPr/>
                              <w:tc>
                                <w:tcPr>
                                  <w:tcW w:w="67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654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Контролируемые УУД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Номер задания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Макс.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балл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% выполнения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7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54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Устанавливать причинно-следственные связи и давать объяснения на основе причинно- следственных связей.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100%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7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54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Интерпретировать информацию, отвечать на вопросы, используя неявно заданную информацию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100%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7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54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Ориентироваться в содержании текста, отвечать на вопросы, используя явно заданную информацию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100%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7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54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 xml:space="preserve">Оценивать достоверность предложенной информации, высказывать оценочные суждения на основе текста 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100%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7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54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Использовать знаково-символические средства и модели при решении учебно-практических задач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91,6%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4" w:hRule="atLeast"/>
                              </w:trPr>
                              <w:tc>
                                <w:tcPr>
                                  <w:tcW w:w="67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54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Проводить исследования (наблюдения, опыты и измерения)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91,6%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7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54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Устанавливать аналогии, строить логические рассуждения умозаключения, делать выводы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100%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3" w:hRule="atLeast"/>
                              </w:trPr>
                              <w:tc>
                                <w:tcPr>
                                  <w:tcW w:w="67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54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Владеть рядом общих приёмов решения проблем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91,6%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19" w:hRule="atLeast"/>
                              </w:trPr>
                              <w:tc>
                                <w:tcPr>
                                  <w:tcW w:w="67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54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Владеть рядом общих приёмов решения проблем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91,6%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7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654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Интерпретировать информацию,  отвечать на вопросы, используя неявно заданную информацию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83,3%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7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54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Ориентироваться в содержании текста, отвечать на вопросы, используя явно заданную информацию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100%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7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54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Устанавливать аналогии, строить логические рассуждения умозаключения, делать выводы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91,6%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7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54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Интерпретировать информацию, отвечать на вопросы, используя неявно заданную информацию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С1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95,8%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31" w:hRule="atLeast"/>
                              </w:trPr>
                              <w:tc>
                                <w:tcPr>
                                  <w:tcW w:w="67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54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Проводить исследования (наблюдения, опыты и измерения)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С2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91,6%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7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54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Устанавливать причинно-следственные связи и давать объяснения на основе причинно- следственных связей.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С3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66,6%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7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54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Интерпретировать информацию,  отвечать на вопросы, используя неявно заданную информацию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С4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66,6%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7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54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Использовать знаково-символические средства и модели при решении учебно-практических задач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С5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91,3%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7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54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Интерпретировать информацию,  отвечать на вопросы, используя неявно заданную информацию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С6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83,3%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28" w:hRule="atLeast"/>
                              </w:trPr>
                              <w:tc>
                                <w:tcPr>
                                  <w:tcW w:w="67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54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Проводить исследования (наблюдения, опыты и измерения)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С7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55,5%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679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545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Выявлять черты сходства и различия, осуществлять сравнения.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С8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  <w:tcBorders/>
                                  <w:shd w:fill="auto" w:val="clear"/>
                                  <w:tcMar>
                                    <w:left w:w="103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center"/>
                                    <w:rPr/>
                                  </w:pPr>
                                  <w:r>
                                    <w:rPr>
                                      <w:rFonts w:cs="Times New Roman" w:ascii="Times New Roman" w:hAnsi="Times New Roman"/>
                                      <w:sz w:val="24"/>
                                      <w:szCs w:val="24"/>
                                    </w:rPr>
                                    <w:t>58,3%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511.5pt;height:588.15pt;mso-wrap-distance-left:9pt;mso-wrap-distance-right:9pt;mso-wrap-distance-top:0pt;mso-wrap-distance-bottom:0pt;margin-top:10.05pt;mso-position-vertical-relative:text;margin-left:108.5pt;mso-position-horizontal:center;mso-position-horizontal-relative:margin">
                <v:textbox inset="0in,0in,0in,0in">
                  <w:txbxContent>
                    <w:tbl>
                      <w:tblPr>
                        <w:tblStyle w:val="a4"/>
                        <w:tblpPr w:bottomFromText="0" w:horzAnchor="margin" w:leftFromText="180" w:rightFromText="180" w:tblpX="0" w:tblpXSpec="center" w:tblpY="201" w:topFromText="0" w:vertAnchor="text"/>
                        <w:tblW w:w="10230" w:type="dxa"/>
                        <w:jc w:val="center"/>
                        <w:tblInd w:w="0" w:type="dxa"/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4a0"/>
                      </w:tblPr>
                      <w:tblGrid>
                        <w:gridCol w:w="679"/>
                        <w:gridCol w:w="6545"/>
                        <w:gridCol w:w="1020"/>
                        <w:gridCol w:w="993"/>
                        <w:gridCol w:w="993"/>
                      </w:tblGrid>
                      <w:tr>
                        <w:trPr/>
                        <w:tc>
                          <w:tcPr>
                            <w:tcW w:w="67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654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Контролируемые УУД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</w:r>
                          </w:p>
                        </w:tc>
                        <w:tc>
                          <w:tcPr>
                            <w:tcW w:w="102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Номер задания</w:t>
                            </w:r>
                          </w:p>
                        </w:tc>
                        <w:tc>
                          <w:tcPr>
                            <w:tcW w:w="9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Макс.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балл</w:t>
                            </w:r>
                          </w:p>
                        </w:tc>
                        <w:tc>
                          <w:tcPr>
                            <w:tcW w:w="9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% выполнения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7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54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Устанавливать причинно-следственные связи и давать объяснения на основе причинно- следственных связей.</w:t>
                            </w:r>
                          </w:p>
                        </w:tc>
                        <w:tc>
                          <w:tcPr>
                            <w:tcW w:w="102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100%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7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54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Интерпретировать информацию, отвечать на вопросы, используя неявно заданную информацию</w:t>
                            </w:r>
                          </w:p>
                        </w:tc>
                        <w:tc>
                          <w:tcPr>
                            <w:tcW w:w="102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100%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7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54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Ориентироваться в содержании текста, отвечать на вопросы, используя явно заданную информацию</w:t>
                            </w:r>
                          </w:p>
                        </w:tc>
                        <w:tc>
                          <w:tcPr>
                            <w:tcW w:w="102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100%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7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54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 xml:space="preserve">Оценивать достоверность предложенной информации, высказывать оценочные суждения на основе текста </w:t>
                            </w:r>
                          </w:p>
                        </w:tc>
                        <w:tc>
                          <w:tcPr>
                            <w:tcW w:w="102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100%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7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54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Использовать знаково-символические средства и модели при решении учебно-практических задач</w:t>
                            </w:r>
                          </w:p>
                        </w:tc>
                        <w:tc>
                          <w:tcPr>
                            <w:tcW w:w="102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91,6%</w:t>
                            </w:r>
                          </w:p>
                        </w:tc>
                      </w:tr>
                      <w:tr>
                        <w:trPr>
                          <w:trHeight w:val="454" w:hRule="atLeast"/>
                        </w:trPr>
                        <w:tc>
                          <w:tcPr>
                            <w:tcW w:w="67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54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Проводить исследования (наблюдения, опыты и измерения)</w:t>
                            </w:r>
                          </w:p>
                        </w:tc>
                        <w:tc>
                          <w:tcPr>
                            <w:tcW w:w="102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91,6%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7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54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Устанавливать аналогии, строить логические рассуждения умозаключения, делать выводы</w:t>
                            </w:r>
                          </w:p>
                        </w:tc>
                        <w:tc>
                          <w:tcPr>
                            <w:tcW w:w="102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100%</w:t>
                            </w:r>
                          </w:p>
                        </w:tc>
                      </w:tr>
                      <w:tr>
                        <w:trPr>
                          <w:trHeight w:val="453" w:hRule="atLeast"/>
                        </w:trPr>
                        <w:tc>
                          <w:tcPr>
                            <w:tcW w:w="67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54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Владеть рядом общих приёмов решения проблем</w:t>
                            </w:r>
                          </w:p>
                        </w:tc>
                        <w:tc>
                          <w:tcPr>
                            <w:tcW w:w="102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91,6%</w:t>
                            </w:r>
                          </w:p>
                        </w:tc>
                      </w:tr>
                      <w:tr>
                        <w:trPr>
                          <w:trHeight w:val="519" w:hRule="atLeast"/>
                        </w:trPr>
                        <w:tc>
                          <w:tcPr>
                            <w:tcW w:w="67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54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Владеть рядом общих приёмов решения проблем</w:t>
                            </w:r>
                          </w:p>
                        </w:tc>
                        <w:tc>
                          <w:tcPr>
                            <w:tcW w:w="102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91,6%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7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654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Интерпретировать информацию,  отвечать на вопросы, используя неявно заданную информацию</w:t>
                            </w:r>
                          </w:p>
                        </w:tc>
                        <w:tc>
                          <w:tcPr>
                            <w:tcW w:w="102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83,3%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7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54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Ориентироваться в содержании текста, отвечать на вопросы, используя явно заданную информацию</w:t>
                            </w:r>
                          </w:p>
                        </w:tc>
                        <w:tc>
                          <w:tcPr>
                            <w:tcW w:w="102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100%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7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54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Устанавливать аналогии, строить логические рассуждения умозаключения, делать выводы</w:t>
                            </w:r>
                          </w:p>
                        </w:tc>
                        <w:tc>
                          <w:tcPr>
                            <w:tcW w:w="102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91,6%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7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54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Интерпретировать информацию, отвечать на вопросы, используя неявно заданную информацию</w:t>
                            </w:r>
                          </w:p>
                        </w:tc>
                        <w:tc>
                          <w:tcPr>
                            <w:tcW w:w="102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С1</w:t>
                            </w:r>
                          </w:p>
                        </w:tc>
                        <w:tc>
                          <w:tcPr>
                            <w:tcW w:w="9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95,8%</w:t>
                            </w:r>
                          </w:p>
                        </w:tc>
                      </w:tr>
                      <w:tr>
                        <w:trPr>
                          <w:trHeight w:val="431" w:hRule="atLeast"/>
                        </w:trPr>
                        <w:tc>
                          <w:tcPr>
                            <w:tcW w:w="67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54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Проводить исследования (наблюдения, опыты и измерения)</w:t>
                            </w:r>
                          </w:p>
                        </w:tc>
                        <w:tc>
                          <w:tcPr>
                            <w:tcW w:w="102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С2</w:t>
                            </w:r>
                          </w:p>
                        </w:tc>
                        <w:tc>
                          <w:tcPr>
                            <w:tcW w:w="9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91,6%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7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54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Устанавливать причинно-следственные связи и давать объяснения на основе причинно- следственных связей.</w:t>
                            </w:r>
                          </w:p>
                        </w:tc>
                        <w:tc>
                          <w:tcPr>
                            <w:tcW w:w="102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С3</w:t>
                            </w:r>
                          </w:p>
                        </w:tc>
                        <w:tc>
                          <w:tcPr>
                            <w:tcW w:w="9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66,6%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7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54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Интерпретировать информацию,  отвечать на вопросы, используя неявно заданную информацию</w:t>
                            </w:r>
                          </w:p>
                        </w:tc>
                        <w:tc>
                          <w:tcPr>
                            <w:tcW w:w="102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С4</w:t>
                            </w:r>
                          </w:p>
                        </w:tc>
                        <w:tc>
                          <w:tcPr>
                            <w:tcW w:w="9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66,6%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7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54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Использовать знаково-символические средства и модели при решении учебно-практических задач</w:t>
                            </w:r>
                          </w:p>
                        </w:tc>
                        <w:tc>
                          <w:tcPr>
                            <w:tcW w:w="102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С5</w:t>
                            </w:r>
                          </w:p>
                        </w:tc>
                        <w:tc>
                          <w:tcPr>
                            <w:tcW w:w="9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91,3%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7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54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Интерпретировать информацию,  отвечать на вопросы, используя неявно заданную информацию</w:t>
                            </w:r>
                          </w:p>
                        </w:tc>
                        <w:tc>
                          <w:tcPr>
                            <w:tcW w:w="102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С6</w:t>
                            </w:r>
                          </w:p>
                        </w:tc>
                        <w:tc>
                          <w:tcPr>
                            <w:tcW w:w="9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83,3%</w:t>
                            </w:r>
                          </w:p>
                        </w:tc>
                      </w:tr>
                      <w:tr>
                        <w:trPr>
                          <w:trHeight w:val="628" w:hRule="atLeast"/>
                        </w:trPr>
                        <w:tc>
                          <w:tcPr>
                            <w:tcW w:w="67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54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Проводить исследования (наблюдения, опыты и измерения)</w:t>
                            </w:r>
                          </w:p>
                        </w:tc>
                        <w:tc>
                          <w:tcPr>
                            <w:tcW w:w="102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С7</w:t>
                            </w:r>
                          </w:p>
                        </w:tc>
                        <w:tc>
                          <w:tcPr>
                            <w:tcW w:w="9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55,5%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679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545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Выявлять черты сходства и различия, осуществлять сравнения.</w:t>
                            </w:r>
                          </w:p>
                        </w:tc>
                        <w:tc>
                          <w:tcPr>
                            <w:tcW w:w="1020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С8</w:t>
                            </w:r>
                          </w:p>
                        </w:tc>
                        <w:tc>
                          <w:tcPr>
                            <w:tcW w:w="9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3" w:type="dxa"/>
                            <w:tcBorders/>
                            <w:shd w:fill="auto" w:val="clear"/>
                            <w:tcMar>
                              <w:left w:w="103" w:type="dxa"/>
                            </w:tcMar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jc w:val="center"/>
                              <w:rPr/>
                            </w:pPr>
                            <w:r>
                              <w:rPr>
                                <w:rFonts w:cs="Times New Roman" w:ascii="Times New Roman" w:hAnsi="Times New Roman"/>
                                <w:sz w:val="24"/>
                                <w:szCs w:val="24"/>
                              </w:rPr>
                              <w:t>58,3%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  <w:u w:val="single"/>
        </w:rPr>
        <w:t>Результаты выполнения отдельных заданий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/>
        <w:drawing>
          <wp:inline distT="0" distB="0" distL="0" distR="0">
            <wp:extent cx="7033895" cy="2578100"/>
            <wp:effectExtent l="0" t="0" r="0" b="0"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</w:p>
    <w:p>
      <w:pPr>
        <w:pStyle w:val="Normal"/>
        <w:spacing w:lineRule="auto" w:line="240"/>
        <w:ind w:left="993" w:hanging="0"/>
        <w:jc w:val="center"/>
        <w:rPr>
          <w:rFonts w:ascii="Times New Roman" w:hAnsi="Times New Roman" w:cs="Times New Roman"/>
          <w:b/>
          <w:b/>
          <w:bCs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>Процент выполнения заданий по уровням  сформированности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sz w:val="28"/>
          <w:szCs w:val="28"/>
        </w:rPr>
        <w:t>способов  деятельности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/>
        <w:drawing>
          <wp:inline distT="0" distB="0" distL="0" distR="0">
            <wp:extent cx="5486400" cy="2295525"/>
            <wp:effectExtent l="0" t="0" r="0" b="0"/>
            <wp:docPr id="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СВОДНАЯ  ТАБЛИЦА ВЫПОЛНЕНИЯ ЗАДАНИЙ.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tbl>
      <w:tblPr>
        <w:tblStyle w:val="a4"/>
        <w:tblW w:w="10717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8"/>
        <w:gridCol w:w="2834"/>
        <w:gridCol w:w="709"/>
        <w:gridCol w:w="566"/>
        <w:gridCol w:w="567"/>
        <w:gridCol w:w="567"/>
        <w:gridCol w:w="567"/>
        <w:gridCol w:w="567"/>
        <w:gridCol w:w="567"/>
        <w:gridCol w:w="567"/>
        <w:gridCol w:w="710"/>
        <w:gridCol w:w="900"/>
        <w:gridCol w:w="1027"/>
      </w:tblGrid>
      <w:tr>
        <w:trPr>
          <w:trHeight w:val="470" w:hRule="atLeast"/>
        </w:trPr>
        <w:tc>
          <w:tcPr>
            <w:tcW w:w="5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№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                  </w:t>
            </w:r>
            <w:r>
              <w:rPr>
                <w:rFonts w:cs="Times New Roman" w:ascii="Times New Roman" w:hAnsi="Times New Roman"/>
              </w:rPr>
              <w:t>ФИО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Ч.1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С1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С2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С3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С4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С5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С6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С7</w:t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С8</w:t>
            </w:r>
          </w:p>
        </w:tc>
        <w:tc>
          <w:tcPr>
            <w:tcW w:w="900" w:type="dxa"/>
            <w:tcBorders>
              <w:right w:val="single" w:sz="4" w:space="0" w:color="C0504D"/>
              <w:insideV w:val="single" w:sz="4" w:space="0" w:color="C0504D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итог</w:t>
            </w:r>
          </w:p>
        </w:tc>
        <w:tc>
          <w:tcPr>
            <w:tcW w:w="1027" w:type="dxa"/>
            <w:tcBorders>
              <w:left w:val="single" w:sz="4" w:space="0" w:color="C0504D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% </w:t>
            </w:r>
          </w:p>
        </w:tc>
      </w:tr>
      <w:tr>
        <w:trPr/>
        <w:tc>
          <w:tcPr>
            <w:tcW w:w="5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Биганова Меги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900" w:type="dxa"/>
            <w:tcBorders>
              <w:right w:val="single" w:sz="4" w:space="0" w:color="C0504D"/>
              <w:insideV w:val="single" w:sz="4" w:space="0" w:color="C0504D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</w:t>
            </w:r>
          </w:p>
        </w:tc>
        <w:tc>
          <w:tcPr>
            <w:tcW w:w="1027" w:type="dxa"/>
            <w:tcBorders>
              <w:left w:val="single" w:sz="4" w:space="0" w:color="C0504D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88,8%</w:t>
            </w:r>
          </w:p>
        </w:tc>
      </w:tr>
      <w:tr>
        <w:trPr/>
        <w:tc>
          <w:tcPr>
            <w:tcW w:w="5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shd w:fill="FFFFFF" w:val="clear"/>
              </w:rPr>
              <w:t>Габараева Салимат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00" w:type="dxa"/>
            <w:tcBorders>
              <w:right w:val="single" w:sz="4" w:space="0" w:color="C0504D"/>
              <w:insideV w:val="single" w:sz="4" w:space="0" w:color="C0504D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1027" w:type="dxa"/>
            <w:tcBorders>
              <w:left w:val="single" w:sz="4" w:space="0" w:color="C0504D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55,5%</w:t>
            </w:r>
          </w:p>
        </w:tc>
      </w:tr>
      <w:tr>
        <w:trPr/>
        <w:tc>
          <w:tcPr>
            <w:tcW w:w="5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shd w:fill="FFFFFF" w:val="clear"/>
              </w:rPr>
              <w:t>Габуев Хетаг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00" w:type="dxa"/>
            <w:tcBorders>
              <w:right w:val="single" w:sz="4" w:space="0" w:color="C0504D"/>
              <w:insideV w:val="single" w:sz="4" w:space="0" w:color="C0504D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18</w:t>
            </w:r>
          </w:p>
        </w:tc>
        <w:tc>
          <w:tcPr>
            <w:tcW w:w="1027" w:type="dxa"/>
            <w:tcBorders>
              <w:left w:val="single" w:sz="4" w:space="0" w:color="C0504D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66,6%</w:t>
            </w:r>
          </w:p>
        </w:tc>
      </w:tr>
      <w:tr>
        <w:trPr/>
        <w:tc>
          <w:tcPr>
            <w:tcW w:w="5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shd w:fill="FFFFFF" w:val="clear"/>
              </w:rPr>
              <w:t>Габуева Изабелла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00" w:type="dxa"/>
            <w:tcBorders>
              <w:right w:val="single" w:sz="4" w:space="0" w:color="C0504D"/>
              <w:insideV w:val="single" w:sz="4" w:space="0" w:color="C0504D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</w:t>
            </w:r>
          </w:p>
        </w:tc>
        <w:tc>
          <w:tcPr>
            <w:tcW w:w="1027" w:type="dxa"/>
            <w:tcBorders>
              <w:left w:val="single" w:sz="4" w:space="0" w:color="C0504D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55,5%</w:t>
            </w:r>
          </w:p>
        </w:tc>
      </w:tr>
      <w:tr>
        <w:trPr/>
        <w:tc>
          <w:tcPr>
            <w:tcW w:w="5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shd w:fill="FFFFFF" w:val="clear"/>
              </w:rPr>
              <w:t>Джатиева Сабрина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900" w:type="dxa"/>
            <w:tcBorders>
              <w:right w:val="single" w:sz="4" w:space="0" w:color="C0504D"/>
              <w:insideV w:val="single" w:sz="4" w:space="0" w:color="C0504D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</w:t>
            </w:r>
          </w:p>
        </w:tc>
        <w:tc>
          <w:tcPr>
            <w:tcW w:w="1027" w:type="dxa"/>
            <w:tcBorders>
              <w:left w:val="single" w:sz="4" w:space="0" w:color="C0504D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100%</w:t>
            </w:r>
          </w:p>
        </w:tc>
      </w:tr>
      <w:tr>
        <w:trPr/>
        <w:tc>
          <w:tcPr>
            <w:tcW w:w="5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shd w:fill="FFFFFF" w:val="clear"/>
              </w:rPr>
              <w:t>Джигкаев Даниил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900" w:type="dxa"/>
            <w:tcBorders>
              <w:right w:val="single" w:sz="4" w:space="0" w:color="C0504D"/>
              <w:insideV w:val="single" w:sz="4" w:space="0" w:color="C0504D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</w:t>
            </w:r>
          </w:p>
        </w:tc>
        <w:tc>
          <w:tcPr>
            <w:tcW w:w="1027" w:type="dxa"/>
            <w:tcBorders>
              <w:left w:val="single" w:sz="4" w:space="0" w:color="C0504D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88,8%</w:t>
            </w:r>
          </w:p>
        </w:tc>
      </w:tr>
      <w:tr>
        <w:trPr/>
        <w:tc>
          <w:tcPr>
            <w:tcW w:w="5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center"/>
              <w:rPr>
                <w:rFonts w:ascii="Times New Roman" w:hAnsi="Times New Roman" w:eastAsia="Times New Roman" w:cs="Times New Roman"/>
                <w:szCs w:val="28"/>
                <w:lang w:eastAsia="ru-RU"/>
              </w:rPr>
            </w:pPr>
            <w:r>
              <w:rPr/>
              <w:t>Джигкаева Софья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900" w:type="dxa"/>
            <w:tcBorders>
              <w:right w:val="single" w:sz="4" w:space="0" w:color="C0504D"/>
              <w:insideV w:val="single" w:sz="4" w:space="0" w:color="C0504D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24</w:t>
            </w:r>
          </w:p>
        </w:tc>
        <w:tc>
          <w:tcPr>
            <w:tcW w:w="1027" w:type="dxa"/>
            <w:tcBorders>
              <w:left w:val="single" w:sz="4" w:space="0" w:color="C0504D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88,8%</w:t>
            </w:r>
          </w:p>
        </w:tc>
      </w:tr>
      <w:tr>
        <w:trPr/>
        <w:tc>
          <w:tcPr>
            <w:tcW w:w="5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shd w:fill="FFFFFF" w:val="clear"/>
              </w:rPr>
              <w:t>Джиоева Изабелла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00" w:type="dxa"/>
            <w:tcBorders>
              <w:right w:val="single" w:sz="4" w:space="0" w:color="C0504D"/>
              <w:insideV w:val="single" w:sz="4" w:space="0" w:color="C0504D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</w:t>
            </w:r>
          </w:p>
        </w:tc>
        <w:tc>
          <w:tcPr>
            <w:tcW w:w="1027" w:type="dxa"/>
            <w:tcBorders>
              <w:left w:val="single" w:sz="4" w:space="0" w:color="C0504D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92,5%</w:t>
            </w:r>
          </w:p>
        </w:tc>
      </w:tr>
      <w:tr>
        <w:trPr/>
        <w:tc>
          <w:tcPr>
            <w:tcW w:w="5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shd w:fill="FFFFFF" w:val="clear"/>
              </w:rPr>
              <w:t>Дзукаева Ксения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900" w:type="dxa"/>
            <w:tcBorders>
              <w:right w:val="single" w:sz="4" w:space="0" w:color="C0504D"/>
              <w:insideV w:val="single" w:sz="4" w:space="0" w:color="C0504D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</w:t>
            </w:r>
          </w:p>
        </w:tc>
        <w:tc>
          <w:tcPr>
            <w:tcW w:w="1027" w:type="dxa"/>
            <w:tcBorders>
              <w:left w:val="single" w:sz="4" w:space="0" w:color="C0504D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100%</w:t>
            </w:r>
          </w:p>
        </w:tc>
      </w:tr>
      <w:tr>
        <w:trPr/>
        <w:tc>
          <w:tcPr>
            <w:tcW w:w="5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shd w:fill="FFFFFF" w:val="clear"/>
              </w:rPr>
              <w:t>Ханикаева Кристина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900" w:type="dxa"/>
            <w:tcBorders>
              <w:right w:val="single" w:sz="4" w:space="0" w:color="C0504D"/>
              <w:insideV w:val="single" w:sz="4" w:space="0" w:color="C0504D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</w:t>
            </w:r>
          </w:p>
        </w:tc>
        <w:tc>
          <w:tcPr>
            <w:tcW w:w="1027" w:type="dxa"/>
            <w:tcBorders>
              <w:left w:val="single" w:sz="4" w:space="0" w:color="C0504D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100%</w:t>
            </w:r>
          </w:p>
        </w:tc>
      </w:tr>
      <w:tr>
        <w:trPr/>
        <w:tc>
          <w:tcPr>
            <w:tcW w:w="5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center"/>
              <w:rPr>
                <w:rFonts w:ascii="Times New Roman" w:hAnsi="Times New Roman" w:eastAsia="Times New Roman" w:cs="Times New Roman"/>
                <w:szCs w:val="28"/>
                <w:lang w:eastAsia="ru-RU"/>
              </w:rPr>
            </w:pPr>
            <w:r>
              <w:rPr/>
              <w:t>Хугаев Сослан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00" w:type="dxa"/>
            <w:tcBorders>
              <w:right w:val="single" w:sz="4" w:space="0" w:color="C0504D"/>
              <w:insideV w:val="single" w:sz="4" w:space="0" w:color="C0504D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  <w:tc>
          <w:tcPr>
            <w:tcW w:w="1027" w:type="dxa"/>
            <w:tcBorders>
              <w:left w:val="single" w:sz="4" w:space="0" w:color="C0504D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74%</w:t>
            </w:r>
          </w:p>
        </w:tc>
      </w:tr>
      <w:tr>
        <w:trPr/>
        <w:tc>
          <w:tcPr>
            <w:tcW w:w="56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283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shd w:fill="FFFFFF" w:val="clear"/>
              </w:rPr>
              <w:t>Цховребов Олег</w:t>
            </w:r>
          </w:p>
        </w:tc>
        <w:tc>
          <w:tcPr>
            <w:tcW w:w="70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6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71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900" w:type="dxa"/>
            <w:tcBorders>
              <w:right w:val="single" w:sz="4" w:space="0" w:color="C0504D"/>
              <w:insideV w:val="single" w:sz="4" w:space="0" w:color="C0504D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  <w:tc>
          <w:tcPr>
            <w:tcW w:w="1027" w:type="dxa"/>
            <w:tcBorders>
              <w:left w:val="single" w:sz="4" w:space="0" w:color="C0504D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74%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Кодификатор универсальных учебных умений</w:t>
      </w:r>
    </w:p>
    <w:tbl>
      <w:tblPr>
        <w:tblStyle w:val="a4"/>
        <w:tblW w:w="946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84"/>
        <w:gridCol w:w="4385"/>
        <w:gridCol w:w="992"/>
        <w:gridCol w:w="1843"/>
        <w:gridCol w:w="1560"/>
      </w:tblGrid>
      <w:tr>
        <w:trPr/>
        <w:tc>
          <w:tcPr>
            <w:tcW w:w="6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Контролируемое УУД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Номера заданий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Справились с заданием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справились с заданием</w:t>
            </w:r>
          </w:p>
        </w:tc>
      </w:tr>
      <w:tr>
        <w:trPr/>
        <w:tc>
          <w:tcPr>
            <w:tcW w:w="6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Познавательные логические действия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Выявлять черты сходства и различия, осуществлять сравнение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С8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С8 – 7(58,3%)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С8 – 5(41,6%)</w:t>
            </w:r>
          </w:p>
        </w:tc>
      </w:tr>
      <w:tr>
        <w:trPr/>
        <w:tc>
          <w:tcPr>
            <w:tcW w:w="6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4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Устанавливать причинно-следственные связи и давать объяснения на основе установленных причинно-следственных связей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1, С3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1-12 (100%)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С3- 7(58,3%)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1-0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С3-5(41,6%)</w:t>
            </w:r>
          </w:p>
        </w:tc>
      </w:tr>
      <w:tr>
        <w:trPr/>
        <w:tc>
          <w:tcPr>
            <w:tcW w:w="6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4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Устанавливать аналоги, строить логические рассуждения, умозаключения, делать выводы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7,12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7 - 8(66,6%)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12- 11(91,6%)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 – 4 (33,3%)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 – 1(8,4)</w:t>
            </w:r>
          </w:p>
        </w:tc>
      </w:tr>
      <w:tr>
        <w:trPr/>
        <w:tc>
          <w:tcPr>
            <w:tcW w:w="6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Познавательные знаково-символические действия 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Использовать знаково-символические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 и художественно-графические) средства и модели при решении учебно-практических задач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5,С5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5- 11(91,6%)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С5- 11(91,6%)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 – 1(9,4%)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С5 – 1(8,4%)</w:t>
            </w:r>
          </w:p>
        </w:tc>
      </w:tr>
      <w:tr>
        <w:trPr/>
        <w:tc>
          <w:tcPr>
            <w:tcW w:w="6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Познавательные действия по решению задач (проблем)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Владеть рядом общих приёмов решения задач (проблем)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8- 11(91,6%)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 – 11(91,6%)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 – 1(8,4%)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 – 1(8,4)</w:t>
            </w:r>
          </w:p>
        </w:tc>
      </w:tr>
      <w:tr>
        <w:trPr/>
        <w:tc>
          <w:tcPr>
            <w:tcW w:w="6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Проводить исследования ( наблюдения, опыты и измерения)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6,С2,С7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 – 11(91,6%)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С2 -10(83,3%)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С7 - 8(66,6%)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 – 1(8,4%)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С2 – 4(33,3%)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С7 - 4(33,3%)</w:t>
            </w:r>
          </w:p>
        </w:tc>
      </w:tr>
      <w:tr>
        <w:trPr/>
        <w:tc>
          <w:tcPr>
            <w:tcW w:w="6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Познавательные действия по работе с  информацией и чтению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Ориентироваться в содержании текста, отвечать на вопросы, используя явно заданную в тексте информацию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3,11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– 10(83,3%)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 – 12(100%)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 – 2(16,7%)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11 - 0</w:t>
            </w:r>
          </w:p>
        </w:tc>
      </w:tr>
      <w:tr>
        <w:trPr/>
        <w:tc>
          <w:tcPr>
            <w:tcW w:w="6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Интерпретировать информацию, отвечать на вопросы, используя неявно заданную информацию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2,10,С1, С4,С6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2 - 12(100%)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10 - 10(83,3%)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С1- 11(91,6%)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С4 - 7(58,3%)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С6 - 10(83,3%)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2 - 0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10 -2(16,7%)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С1 – 1(8,4%)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С4 -5(41,6%)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С6 – 2(16,7%)</w:t>
            </w:r>
          </w:p>
        </w:tc>
      </w:tr>
      <w:tr>
        <w:trPr/>
        <w:tc>
          <w:tcPr>
            <w:tcW w:w="6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438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Оценивать достоверность предложенной информации, высказывать оценочные суждения на основе текста</w:t>
            </w:r>
          </w:p>
        </w:tc>
        <w:tc>
          <w:tcPr>
            <w:tcW w:w="99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– 12 (100%)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4 - 0</w:t>
            </w:r>
          </w:p>
        </w:tc>
      </w:tr>
    </w:tbl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Выводы: </w:t>
      </w:r>
    </w:p>
    <w:p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По результатам мониторингового исследования можно сделать </w:t>
      </w:r>
      <w:r>
        <w:rPr>
          <w:rStyle w:val="Style15"/>
          <w:rFonts w:eastAsia="Calibri" w:eastAsiaTheme="minorHAnsi"/>
          <w:sz w:val="24"/>
          <w:szCs w:val="24"/>
        </w:rPr>
        <w:t>вывод</w:t>
      </w:r>
      <w:r>
        <w:rPr>
          <w:rFonts w:cs="Times New Roman" w:ascii="Times New Roman" w:hAnsi="Times New Roman"/>
          <w:sz w:val="24"/>
          <w:szCs w:val="24"/>
        </w:rPr>
        <w:t xml:space="preserve">, что большинство учащихся имеют базовый уровень   сформированности проверяемых УУД, что является дальнейшей основой для формирования метапредметных УУД.  Наиболее сложным для обучающихся 10-го класса оказалось задание С8 –выявлять черты сходства и различия, осуществлять сравнение. </w:t>
      </w:r>
    </w:p>
    <w:p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cs="Times New Roman" w:ascii="Times New Roman" w:hAnsi="Times New Roman"/>
          <w:b/>
          <w:iCs/>
          <w:sz w:val="24"/>
          <w:szCs w:val="24"/>
        </w:rPr>
        <w:t>Рекомендации:</w:t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Учителям-предметникам: </w:t>
      </w:r>
    </w:p>
    <w:p>
      <w:pPr>
        <w:pStyle w:val="NoSpacing"/>
        <w:ind w:left="33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 xml:space="preserve">в целях повышения уровня сформированности  </w:t>
      </w:r>
      <w:r>
        <w:rPr>
          <w:rFonts w:cs="Times New Roman" w:ascii="Times New Roman" w:hAnsi="Times New Roman"/>
          <w:b/>
          <w:sz w:val="24"/>
          <w:szCs w:val="24"/>
        </w:rPr>
        <w:t xml:space="preserve">метапредметных результатов обучающихся </w:t>
      </w:r>
      <w:r>
        <w:rPr>
          <w:rFonts w:cs="Times New Roman" w:ascii="Times New Roman" w:hAnsi="Times New Roman"/>
          <w:sz w:val="24"/>
          <w:szCs w:val="24"/>
        </w:rPr>
        <w:t>рекомендуется: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- продолжать работу по формированию и развитию у учащихся регулятивных универсальных учебных действий: 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формировать произвольность учебной деятельности через постановку цели, составление плана, обращение к алгоритмам выполнения учебных действий и т. д.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Для дальнейшего развития коммуникативных УУД учащихся рекомендуется: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 проводить развивающую работу с учащимися, которые имеют базовый уровень сформированности  УУД.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привлекать учащихся к участию в проектно-исследовательской деятельности, к участию в конкурсах и олимпиадах, к составлению рефератов, докладов и т. п.</w:t>
      </w:r>
    </w:p>
    <w:p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  <w:lang w:eastAsia="ar-SA"/>
        </w:rPr>
        <w:t xml:space="preserve">Для формирования познавательных УУД привлекать учащихся к работе с разными источниками информации, развивать  основные мыслительные операции, умения устанавливать логические связи, используя для этого задания проблемно-поискового характера.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Руководителям ШМО: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- </w:t>
      </w:r>
      <w:r>
        <w:rPr>
          <w:rFonts w:cs="Times New Roman" w:ascii="Times New Roman" w:hAnsi="Times New Roman"/>
          <w:bCs/>
          <w:sz w:val="24"/>
          <w:szCs w:val="24"/>
        </w:rPr>
        <w:t xml:space="preserve">рассмотреть на заседаниях ШМО результаты </w:t>
      </w:r>
      <w:r>
        <w:rPr>
          <w:rFonts w:cs="Times New Roman" w:ascii="Times New Roman" w:hAnsi="Times New Roman"/>
          <w:sz w:val="24"/>
          <w:szCs w:val="24"/>
        </w:rPr>
        <w:t>диагностической работы;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- </w:t>
      </w:r>
      <w:r>
        <w:rPr>
          <w:rFonts w:cs="Times New Roman" w:ascii="Times New Roman" w:hAnsi="Times New Roman"/>
          <w:sz w:val="24"/>
          <w:szCs w:val="24"/>
        </w:rPr>
        <w:t>разработать алгоритмы коррекционной работы с учетом результатов диагностики.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</w:r>
    </w:p>
    <w:p>
      <w:pPr>
        <w:pStyle w:val="Style26"/>
        <w:shd w:val="clear" w:color="auto" w:fill="auto"/>
        <w:spacing w:lineRule="exact" w:line="210"/>
        <w:rPr>
          <w:b w:val="false"/>
          <w:b w:val="false"/>
          <w:color w:val="000000"/>
          <w:sz w:val="24"/>
          <w:szCs w:val="24"/>
          <w:lang w:eastAsia="ru-RU" w:bidi="ru-RU"/>
        </w:rPr>
      </w:pPr>
      <w:r>
        <w:rPr>
          <w:b w:val="false"/>
          <w:color w:val="000000"/>
          <w:sz w:val="24"/>
          <w:szCs w:val="24"/>
          <w:lang w:eastAsia="ru-RU" w:bidi="ru-RU"/>
        </w:rPr>
        <w:t>21.04.2021 г.</w:t>
      </w:r>
    </w:p>
    <w:p>
      <w:pPr>
        <w:pStyle w:val="Style26"/>
        <w:shd w:val="clear" w:color="auto" w:fill="auto"/>
        <w:spacing w:lineRule="exact" w:line="210"/>
        <w:rPr>
          <w:b w:val="false"/>
          <w:b w:val="false"/>
          <w:color w:val="000000"/>
          <w:sz w:val="24"/>
          <w:szCs w:val="24"/>
          <w:lang w:eastAsia="ru-RU" w:bidi="ru-RU"/>
        </w:rPr>
      </w:pPr>
      <w:r>
        <w:rPr>
          <w:b w:val="false"/>
          <w:color w:val="000000"/>
          <w:sz w:val="24"/>
          <w:szCs w:val="24"/>
          <w:lang w:eastAsia="ru-RU" w:bidi="ru-RU"/>
        </w:rPr>
      </w:r>
    </w:p>
    <w:p>
      <w:pPr>
        <w:pStyle w:val="Style26"/>
        <w:shd w:val="clear" w:color="auto" w:fill="auto"/>
        <w:spacing w:lineRule="exact" w:line="210"/>
        <w:rPr>
          <w:b w:val="false"/>
          <w:b w:val="false"/>
          <w:color w:val="000000"/>
          <w:sz w:val="24"/>
          <w:szCs w:val="24"/>
          <w:lang w:eastAsia="ru-RU" w:bidi="ru-RU"/>
        </w:rPr>
      </w:pPr>
      <w:r>
        <w:rPr>
          <w:b w:val="false"/>
          <w:color w:val="000000"/>
          <w:sz w:val="24"/>
          <w:szCs w:val="24"/>
          <w:lang w:eastAsia="ru-RU" w:bidi="ru-RU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Зам. директора по УВР Гагиева А.М.</w:t>
      </w:r>
    </w:p>
    <w:p>
      <w:pPr>
        <w:pStyle w:val="Normal"/>
        <w:spacing w:before="0" w:after="0"/>
        <w:jc w:val="both"/>
        <w:rPr/>
      </w:pPr>
      <w:r>
        <w:rPr/>
      </w:r>
    </w:p>
    <w:sectPr>
      <w:footerReference w:type="default" r:id="rId5"/>
      <w:type w:val="nextPage"/>
      <w:pgSz w:orient="landscape" w:w="16838" w:h="11906"/>
      <w:pgMar w:left="1134" w:right="1134" w:header="0" w:top="851" w:footer="709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Georgi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1079546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  <w:p>
        <w:pPr>
          <w:pStyle w:val="Style28"/>
          <w:rPr/>
        </w:pPr>
        <w:r>
          <w:rPr/>
        </w:r>
      </w:p>
    </w:sdtContent>
  </w:sdt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56047654"/>
    </w:sdtPr>
    <w:sdtContent>
      <w:p>
        <w:pPr>
          <w:pStyle w:val="Style28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4</w:t>
        </w:r>
        <w:r>
          <w:fldChar w:fldCharType="end"/>
        </w:r>
      </w:p>
      <w:p>
        <w:pPr>
          <w:pStyle w:val="Style28"/>
          <w:rPr/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410" w:hanging="360"/>
      </w:pPr>
    </w:lvl>
    <w:lvl w:ilvl="2">
      <w:start w:val="1"/>
      <w:numFmt w:val="lowerRoman"/>
      <w:lvlText w:val="%3."/>
      <w:lvlJc w:val="right"/>
      <w:pPr>
        <w:ind w:left="2130" w:hanging="180"/>
      </w:pPr>
    </w:lvl>
    <w:lvl w:ilvl="3">
      <w:start w:val="1"/>
      <w:numFmt w:val="decimal"/>
      <w:lvlText w:val="%4."/>
      <w:lvlJc w:val="left"/>
      <w:pPr>
        <w:ind w:left="2850" w:hanging="360"/>
      </w:pPr>
    </w:lvl>
    <w:lvl w:ilvl="4">
      <w:start w:val="1"/>
      <w:numFmt w:val="lowerLetter"/>
      <w:lvlText w:val="%5."/>
      <w:lvlJc w:val="left"/>
      <w:pPr>
        <w:ind w:left="3570" w:hanging="360"/>
      </w:pPr>
    </w:lvl>
    <w:lvl w:ilvl="5">
      <w:start w:val="1"/>
      <w:numFmt w:val="lowerRoman"/>
      <w:lvlText w:val="%6."/>
      <w:lvlJc w:val="right"/>
      <w:pPr>
        <w:ind w:left="4290" w:hanging="180"/>
      </w:pPr>
    </w:lvl>
    <w:lvl w:ilvl="6">
      <w:start w:val="1"/>
      <w:numFmt w:val="decimal"/>
      <w:lvlText w:val="%7."/>
      <w:lvlJc w:val="left"/>
      <w:pPr>
        <w:ind w:left="5010" w:hanging="360"/>
      </w:pPr>
    </w:lvl>
    <w:lvl w:ilvl="7">
      <w:start w:val="1"/>
      <w:numFmt w:val="lowerLetter"/>
      <w:lvlText w:val="%8."/>
      <w:lvlJc w:val="left"/>
      <w:pPr>
        <w:ind w:left="5730" w:hanging="360"/>
      </w:pPr>
    </w:lvl>
    <w:lvl w:ilvl="8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f67c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5"/>
    <w:uiPriority w:val="99"/>
    <w:qFormat/>
    <w:rsid w:val="00887fd4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Основной текст + Полужирный"/>
    <w:basedOn w:val="DefaultParagraphFont"/>
    <w:qFormat/>
    <w:rsid w:val="00f25c3f"/>
    <w:rPr>
      <w:rFonts w:ascii="Times New Roman" w:hAnsi="Times New Roman" w:eastAsia="Times New Roman" w:cs="Times New Roman"/>
      <w:i w:val="false"/>
      <w:iCs w:val="false"/>
      <w:caps w:val="false"/>
      <w:smallCaps w:val="false"/>
      <w:color w:val="000000"/>
      <w:spacing w:val="0"/>
      <w:w w:val="100"/>
      <w:sz w:val="21"/>
      <w:szCs w:val="21"/>
      <w:shd w:fill="FFFFFF" w:val="clear"/>
      <w:lang w:val="ru-RU" w:eastAsia="ru-RU" w:bidi="ru-RU"/>
    </w:rPr>
  </w:style>
  <w:style w:type="character" w:styleId="Style16" w:customStyle="1">
    <w:name w:val="Подпись к картинке_"/>
    <w:basedOn w:val="DefaultParagraphFont"/>
    <w:link w:val="aa"/>
    <w:qFormat/>
    <w:rsid w:val="00f25c3f"/>
    <w:rPr>
      <w:rFonts w:ascii="Times New Roman" w:hAnsi="Times New Roman" w:eastAsia="Times New Roman" w:cs="Times New Roman"/>
      <w:sz w:val="21"/>
      <w:szCs w:val="21"/>
      <w:shd w:fill="FFFFFF" w:val="clear"/>
    </w:rPr>
  </w:style>
  <w:style w:type="character" w:styleId="Style17" w:customStyle="1">
    <w:name w:val="Текст выноски Знак"/>
    <w:basedOn w:val="DefaultParagraphFont"/>
    <w:link w:val="ab"/>
    <w:uiPriority w:val="99"/>
    <w:semiHidden/>
    <w:qFormat/>
    <w:rsid w:val="00f22e7a"/>
    <w:rPr>
      <w:rFonts w:ascii="Tahoma" w:hAnsi="Tahoma" w:cs="Tahoma"/>
      <w:sz w:val="16"/>
      <w:szCs w:val="16"/>
    </w:rPr>
  </w:style>
  <w:style w:type="character" w:styleId="Style18" w:customStyle="1">
    <w:name w:val="Верхний колонтитул Знак"/>
    <w:basedOn w:val="DefaultParagraphFont"/>
    <w:link w:val="ad"/>
    <w:uiPriority w:val="99"/>
    <w:qFormat/>
    <w:rsid w:val="00553387"/>
    <w:rPr/>
  </w:style>
  <w:style w:type="character" w:styleId="Style19" w:customStyle="1">
    <w:name w:val="Нижний колонтитул Знак"/>
    <w:basedOn w:val="DefaultParagraphFont"/>
    <w:link w:val="af"/>
    <w:uiPriority w:val="99"/>
    <w:qFormat/>
    <w:rsid w:val="00553387"/>
    <w:rPr/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paragraph" w:styleId="Style20">
    <w:name w:val="Заголовок"/>
    <w:basedOn w:val="Normal"/>
    <w:next w:val="Style21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pPr>
      <w:spacing w:lineRule="auto" w:line="288" w:before="0" w:after="14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1" w:customStyle="1">
    <w:name w:val="Абзац списка1"/>
    <w:basedOn w:val="Normal"/>
    <w:qFormat/>
    <w:rsid w:val="009d1848"/>
    <w:pPr>
      <w:spacing w:before="0" w:after="200"/>
      <w:ind w:left="720" w:hanging="0"/>
      <w:contextualSpacing/>
    </w:pPr>
    <w:rPr>
      <w:rFonts w:ascii="Calibri" w:hAnsi="Calibri" w:eastAsia="Times New Roman" w:cs="Times New Roman"/>
    </w:rPr>
  </w:style>
  <w:style w:type="paragraph" w:styleId="ListParagraph">
    <w:name w:val="List Paragraph"/>
    <w:basedOn w:val="Normal"/>
    <w:uiPriority w:val="34"/>
    <w:qFormat/>
    <w:rsid w:val="009d1848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irstpara" w:customStyle="1">
    <w:name w:val="first-para"/>
    <w:basedOn w:val="Normal"/>
    <w:qFormat/>
    <w:rsid w:val="009d184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5">
    <w:name w:val="Body Text Indent"/>
    <w:basedOn w:val="Normal"/>
    <w:link w:val="a6"/>
    <w:uiPriority w:val="99"/>
    <w:unhideWhenUsed/>
    <w:rsid w:val="00887fd4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f25c3f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Style26" w:customStyle="1">
    <w:name w:val="Подпись к картинке"/>
    <w:basedOn w:val="Normal"/>
    <w:link w:val="a9"/>
    <w:qFormat/>
    <w:rsid w:val="00f25c3f"/>
    <w:pPr>
      <w:widowControl w:val="false"/>
      <w:shd w:val="clear" w:color="auto" w:fill="FFFFFF"/>
      <w:spacing w:lineRule="auto" w:before="0" w:after="0"/>
    </w:pPr>
    <w:rPr>
      <w:rFonts w:ascii="Times New Roman" w:hAnsi="Times New Roman" w:eastAsia="Times New Roman" w:cs="Times New Roman"/>
      <w:b/>
      <w:bCs/>
      <w:sz w:val="21"/>
      <w:szCs w:val="21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f22e7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7">
    <w:name w:val="Header"/>
    <w:basedOn w:val="Normal"/>
    <w:link w:val="ae"/>
    <w:uiPriority w:val="99"/>
    <w:unhideWhenUsed/>
    <w:rsid w:val="0055338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8">
    <w:name w:val="Footer"/>
    <w:basedOn w:val="Normal"/>
    <w:link w:val="af0"/>
    <w:uiPriority w:val="99"/>
    <w:unhideWhenUsed/>
    <w:rsid w:val="0055338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7152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chart" Target="charts/chart1.xml"/><Relationship Id="rId4" Type="http://schemas.openxmlformats.org/officeDocument/2006/relationships/chart" Target="charts/chart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_____Microsoft_Office_Excel1.xlsx"/>
</Relationships>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_____Microsoft_Office_Excel2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8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r>
              <a:rPr b="1" sz="18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rPr>
              <a:t>Выполнение отдельних заданий</a:t>
            </a:r>
          </a:p>
        </c:rich>
      </c:tx>
      <c:overlay val="0"/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20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  <c:pt idx="15">
                  <c:v>задание 16</c:v>
                </c:pt>
                <c:pt idx="16">
                  <c:v>задание 17</c:v>
                </c:pt>
                <c:pt idx="17">
                  <c:v>задание 18</c:v>
                </c:pt>
                <c:pt idx="18">
                  <c:v>задание 19</c:v>
                </c:pt>
                <c:pt idx="19">
                  <c:v>задание 20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20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0.916</c:v>
                </c:pt>
                <c:pt idx="5">
                  <c:v>0.916</c:v>
                </c:pt>
                <c:pt idx="6">
                  <c:v>1</c:v>
                </c:pt>
                <c:pt idx="7">
                  <c:v>0.916</c:v>
                </c:pt>
                <c:pt idx="8">
                  <c:v>0.916</c:v>
                </c:pt>
                <c:pt idx="9">
                  <c:v>0.833000000000001</c:v>
                </c:pt>
                <c:pt idx="10">
                  <c:v>1</c:v>
                </c:pt>
                <c:pt idx="11">
                  <c:v>0.916</c:v>
                </c:pt>
                <c:pt idx="12">
                  <c:v>0.958</c:v>
                </c:pt>
                <c:pt idx="13">
                  <c:v>0.916</c:v>
                </c:pt>
                <c:pt idx="14">
                  <c:v>0.666000000000001</c:v>
                </c:pt>
                <c:pt idx="15">
                  <c:v>0.666000000000001</c:v>
                </c:pt>
                <c:pt idx="16">
                  <c:v>0.913</c:v>
                </c:pt>
                <c:pt idx="17">
                  <c:v>0.833000000000001</c:v>
                </c:pt>
                <c:pt idx="18">
                  <c:v>0.555</c:v>
                </c:pt>
                <c:pt idx="19">
                  <c:v>0.583</c:v>
                </c:pt>
              </c:numCache>
            </c:numRef>
          </c:val>
        </c:ser>
        <c:gapWidth val="150"/>
        <c:overlap val="0"/>
        <c:axId val="7115498"/>
        <c:axId val="21277579"/>
      </c:barChart>
      <c:catAx>
        <c:axId val="7115498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</a:p>
        </c:txPr>
        <c:crossAx val="21277579"/>
        <c:crosses val="autoZero"/>
        <c:auto val="1"/>
        <c:lblAlgn val="ctr"/>
        <c:lblOffset val="100"/>
      </c:catAx>
      <c:valAx>
        <c:axId val="21277579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0%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</a:p>
        </c:txPr>
        <c:crossAx val="7115498"/>
        <c:crosses val="autoZero"/>
        <c:crossBetween val="midCat"/>
      </c:valAx>
      <c:spPr>
        <a:solidFill>
          <a:srgbClr val="ffffff"/>
        </a:solidFill>
        <a:ln>
          <a:noFill/>
        </a:ln>
      </c:spPr>
    </c:plotArea>
    <c:plotVisOnly val="1"/>
    <c:dispBlanksAs val="gap"/>
  </c:chart>
  <c:spPr>
    <a:solidFill>
      <a:srgbClr val="ffffff"/>
    </a:solidFill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sz="14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  <a:r>
              <a:rPr b="1" sz="14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rPr>
              <a:t>Уровни сформированности способов деятельности</a:t>
            </a:r>
          </a:p>
        </c:rich>
      </c:tx>
      <c:overlay val="0"/>
    </c:title>
    <c:autoTitleDeleted val="0"/>
    <c:plotArea>
      <c:barChart>
        <c:barDir val="bar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уровень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4"/>
                <c:pt idx="0">
                  <c:v>Низкий -  0</c:v>
                </c:pt>
                <c:pt idx="1">
                  <c:v>Базовый -  20</c:v>
                </c:pt>
                <c:pt idx="2">
                  <c:v>Хороший  -15</c:v>
                </c:pt>
                <c:pt idx="3">
                  <c:v>высокий - 0 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0</c:v>
                </c:pt>
                <c:pt idx="1">
                  <c:v>0.416</c:v>
                </c:pt>
                <c:pt idx="2">
                  <c:v>0.25</c:v>
                </c:pt>
                <c:pt idx="3">
                  <c:v>0.330000000000001</c:v>
                </c:pt>
              </c:numCache>
            </c:numRef>
          </c:val>
        </c:ser>
        <c:gapWidth val="150"/>
        <c:overlap val="0"/>
        <c:axId val="25342831"/>
        <c:axId val="58184933"/>
      </c:barChart>
      <c:catAx>
        <c:axId val="25342831"/>
        <c:scaling>
          <c:orientation val="minMax"/>
        </c:scaling>
        <c:delete val="0"/>
        <c:axPos val="b"/>
        <c:numFmt formatCode="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</a:p>
        </c:txPr>
        <c:crossAx val="58184933"/>
        <c:crosses val="autoZero"/>
        <c:auto val="1"/>
        <c:lblAlgn val="ctr"/>
        <c:lblOffset val="100"/>
      </c:catAx>
      <c:valAx>
        <c:axId val="58184933"/>
        <c:scaling>
          <c:orientation val="minMax"/>
        </c:scaling>
        <c:delete val="0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0%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</a:p>
        </c:txPr>
        <c:crossAx val="25342831"/>
        <c:crosses val="autoZero"/>
        <c:crossBetween val="midCat"/>
      </c:valAx>
      <c:spPr>
        <a:solidFill>
          <a:srgbClr val="ffffff"/>
        </a:solidFill>
        <a:ln>
          <a:noFill/>
        </a:ln>
      </c:spPr>
    </c:plotArea>
    <c:plotVisOnly val="1"/>
    <c:dispBlanksAs val="gap"/>
  </c:chart>
  <c:spPr>
    <a:solidFill>
      <a:srgbClr val="ffffff"/>
    </a:solidFill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96E31-F431-4D6C-AC4D-6D1B1BD0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LibreOffice/5.2.0.4$Windows_X86_64 LibreOffice_project/066b007f5ebcc236395c7d282ba488bca6720265</Application>
  <Pages>9</Pages>
  <Words>1942</Words>
  <Characters>10967</Characters>
  <CharactersWithSpaces>12335</CharactersWithSpaces>
  <Paragraphs>817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2021-08-18T08:27:00Z</dcterms:created>
  <dc:creator>user</dc:creator>
  <dc:description/>
  <dc:language>ru-RU</dc:language>
  <cp:lastModifiedBy/>
  <cp:lastPrinted>2021-05-12T10:51:00Z</cp:lastPrinted>
  <dcterms:modified xsi:type="dcterms:W3CDTF">2021-08-18T13:11:27Z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