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23" w:rsidRDefault="009F551B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5875" cy="93878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243" cy="939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приказ директора школы о создании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 утверждением состава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утвержденное директором школы.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2.2. Документация ППК хранится в течение пяти лет.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2.3. Общее руководство деятельностью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возлагается на директора МБОУ «СОШ № 1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им.Д.Хугаева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огир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2.4. Состав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: председатель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- заместитель директора по УВР, заместитель председателя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 необходимости), педагог-психолог, секретарь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2.5.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лица, исполняющего его обязанности.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2.6. Ход заседания фиксируется в </w:t>
      </w:r>
      <w:hyperlink w:anchor="P196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протоколе</w:t>
        </w:r>
      </w:hyperlink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(приложение 2).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2.7. Коллегиальное решение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содержащее обобщенную характеристику обучающегос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 и рекомендации по организации психолого-педагогического сопровождения, фиксируются в </w:t>
      </w:r>
      <w:hyperlink w:anchor="P245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заключении</w:t>
        </w:r>
      </w:hyperlink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(п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риложение 3). Заключение подписывается всеми членами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егося.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они выражают свое мнение в письм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енной форме в соответствующем разделе заключения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Коллегиальное заключени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обследованным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2.8. При направлении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обучающег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психолого-медико-педагогическую комиссию (далее - ПМПК) оформляется </w:t>
      </w:r>
      <w:hyperlink w:anchor="P293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обуч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ающегося (приложение 4).   Представление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3. Режим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ППк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3.1. Периодичность проведения заседаний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определяется запросом школы 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 обследование и организацию комплексного сопровождения обучающихся и отражается в графике проведения заседаний.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3.2.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подразделяются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плановые и внеплановые.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3.3. Плановые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проводятся в соответствии с графиком проведения, но не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Внеплановые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проводятся при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 случаях.</w:t>
      </w:r>
      <w:proofErr w:type="gramEnd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3.5. При проведении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учитываются результаты освоения содержания образовательной 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степень социализации и адаптации обучающегося.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 обучающегося.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3.6. Деятельность специалистов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осуществляется бесплатно.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3.7. Специалисты, включенные в состав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135023" w:rsidRDefault="0013502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4. Проведение обследования</w:t>
      </w:r>
    </w:p>
    <w:p w:rsidR="00135023" w:rsidRDefault="001350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4.1. Процедура и продолжительность обследования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определяются исходя из задач обследования, а также 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озрастных, психофизических и иных индивидуальных особенностей обследуемого обучающегося.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Обследование обучающегося специалистами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школы  с письменного </w:t>
      </w:r>
      <w:hyperlink w:anchor="P378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согласия</w:t>
        </w:r>
      </w:hyperlink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родителей (законных представителей) (приложение 5).</w:t>
      </w:r>
      <w:proofErr w:type="gramEnd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4.3. Секретарь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заблаговременно информирует членов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 предстоящем заседании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4.4. На период подготовки к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последующей реализации рекомендаций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назначается ведущий специалист: учитель и/или классный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руководитель, воспитатель или другой специалист. Ведущий специалист представляет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(при необходимости).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4.5. По данным обследования каждым специалистом составляется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заключение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разрабат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ываются рекомендации.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заседании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 </w:t>
      </w:r>
      <w:hyperlink w:anchor="P245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имеют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степени социализации и адаптации обучающегося.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5. Содержание рекомендаций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по организации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психолого-педагогиче</w:t>
      </w: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ского сопровождения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обучающихся</w:t>
      </w:r>
      <w:proofErr w:type="gram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5.1. Рекомендации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разработку адаптиро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ванной основной общеобразовательной программы;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предоставление услуг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ассистента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необходимую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техническую помощь, услуг по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сурдопереводу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тифлопереводу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тифлосурдопереводу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(индивидуально или на группу обучающихся), в том числе на период адаптации обучающегося в школе/ учебную четверть, полугодие, учебный год / на постоянной основе.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другие условия 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сихолого-педагогического сопровождения в рамках компетенции школы.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5.2. Рекомендации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щие организации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дополнительный выходной день;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 дополнительной двигательной нагрузки в течение учебного дня / снижение двигательной нагрузки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снижение объема задаваемой на дом работы;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необходимую техническую помощь;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другие условия психолого-педагогического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сопровождения в рамках компетенции школы.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5.3. Рекомендации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числе: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профилактику асоциально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 (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поведения обучающегося;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другие условия психолого-педагогического сопровождения в рамках компетенции школы.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одителей (законных представителей).</w:t>
      </w:r>
    </w:p>
    <w:p w:rsidR="00135023" w:rsidRDefault="009F551B">
      <w:pPr>
        <w:shd w:val="clear" w:color="auto" w:fill="FFFFFF"/>
        <w:jc w:val="both"/>
        <w:rPr>
          <w:rFonts w:hint="eastAsia"/>
        </w:rPr>
        <w:sectPr w:rsidR="00135023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lastRenderedPageBreak/>
        <w:t>Приложение 1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bookmarkStart w:id="1" w:name="P119"/>
      <w:bookmarkEnd w:id="1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Приказ о создании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учебный год;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 Журнал учета заседа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обучающихся, прошедших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форме: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tbl>
      <w:tblPr>
        <w:tblW w:w="9071" w:type="dxa"/>
        <w:tblInd w:w="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357"/>
        <w:gridCol w:w="4533"/>
        <w:gridCol w:w="2722"/>
      </w:tblGrid>
      <w:tr w:rsidR="00135023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13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Тематика заседания </w:t>
            </w:r>
          </w:p>
        </w:tc>
        <w:tc>
          <w:tcPr>
            <w:tcW w:w="2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консилиума (плановый/внеплановый)</w:t>
            </w:r>
          </w:p>
        </w:tc>
      </w:tr>
      <w:tr w:rsidR="00135023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5023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утверждение плана работы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; утверждение плана мероприятий по выявлению обучающихся с особыми образовательными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атов коррекционно-развивающей работы с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другие варианты тематик.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Журнал регистрации коллегиальных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245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заключений</w:t>
        </w:r>
      </w:hyperlink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психолого-педагогического консилиума по форме: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tbl>
      <w:tblPr>
        <w:tblW w:w="9190" w:type="dxa"/>
        <w:tblInd w:w="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757"/>
        <w:gridCol w:w="1126"/>
        <w:gridCol w:w="1468"/>
        <w:gridCol w:w="1474"/>
        <w:gridCol w:w="1668"/>
        <w:gridCol w:w="1250"/>
      </w:tblGrid>
      <w:tr w:rsidR="00135023">
        <w:tc>
          <w:tcPr>
            <w:tcW w:w="4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класс/группа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Инициатор обращения</w:t>
            </w:r>
          </w:p>
        </w:tc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Повод обращения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Коллегиальное заключение</w:t>
            </w:r>
          </w:p>
        </w:tc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 обращения</w:t>
            </w:r>
          </w:p>
        </w:tc>
      </w:tr>
      <w:tr w:rsidR="00135023">
        <w:tc>
          <w:tcPr>
            <w:tcW w:w="4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5023">
        <w:tc>
          <w:tcPr>
            <w:tcW w:w="4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6. </w:t>
      </w:r>
      <w:hyperlink w:anchor="P196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Карта развития обучающегося, получающего психолого-педагогическое сопров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представителей) на обсле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Карта развития хранится у председат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еля консилиума и выдается руководящим работникам школы, педагогам и специалистам, работающим с обучающимся).</w:t>
      </w:r>
      <w:proofErr w:type="gramEnd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8. Журнал направлений обучающихся на ПМПК по форме: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tbl>
      <w:tblPr>
        <w:tblW w:w="9479" w:type="dxa"/>
        <w:tblInd w:w="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697"/>
        <w:gridCol w:w="1126"/>
        <w:gridCol w:w="1421"/>
        <w:gridCol w:w="1421"/>
        <w:gridCol w:w="3312"/>
      </w:tblGrid>
      <w:tr w:rsidR="00135023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класс/группа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направления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Причина направления</w:t>
            </w:r>
          </w:p>
        </w:tc>
        <w:tc>
          <w:tcPr>
            <w:tcW w:w="3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получении направления родителями</w:t>
            </w:r>
          </w:p>
        </w:tc>
      </w:tr>
      <w:tr w:rsidR="00135023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135023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а).</w:t>
            </w:r>
          </w:p>
        </w:tc>
      </w:tr>
      <w:tr w:rsidR="00135023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135023" w:rsidRDefault="00135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"__" ____________ 20__ г.</w:t>
            </w:r>
          </w:p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Подпись:</w:t>
            </w:r>
          </w:p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Расшифровка: _________________</w:t>
            </w:r>
          </w:p>
        </w:tc>
      </w:tr>
    </w:tbl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  <w:sectPr w:rsidR="0013502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Приложение 2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Протокол заседания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психолого-педагогического консилиума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 xml:space="preserve">МОУ «СОШ № 1 </w:t>
      </w:r>
      <w:proofErr w:type="spellStart"/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им.Д.Хугаева</w:t>
      </w:r>
      <w:proofErr w:type="spellEnd"/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огир</w:t>
      </w:r>
      <w:proofErr w:type="spellEnd"/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»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N ____                                           от "__" __________ 20__ г.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 (должность в ОО, роль в 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), 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(мать/отец ФИО </w:t>
      </w:r>
      <w:proofErr w:type="gram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).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Повестка дня: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  1.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 2.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Ход заседания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  1.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 2.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  1.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 2.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Приложения  (характеристики,   </w:t>
      </w: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представления  на  обучающегося,  результаты</w:t>
      </w:r>
      <w:proofErr w:type="gram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продуктивной деятельности </w:t>
      </w:r>
      <w:proofErr w:type="gram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, копии рабочих тетрадей, контрольных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 проверочных работ и другие необходимые материалы):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  1.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 2. ...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 Председатель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 Члены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    Другие присутствующие на заседании: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  <w:sectPr w:rsidR="00135023">
          <w:pgSz w:w="11906" w:h="16838"/>
          <w:pgMar w:top="709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20C22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center"/>
        <w:rPr>
          <w:rFonts w:hint="eastAsia"/>
        </w:rPr>
      </w:pPr>
      <w:bookmarkStart w:id="2" w:name="P245"/>
      <w:bookmarkEnd w:id="2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lastRenderedPageBreak/>
        <w:t xml:space="preserve">Коллегиальное заключение 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психолого-педагогического консилиума МОУ «СОШ № 1 </w:t>
      </w:r>
      <w:proofErr w:type="spellStart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им.Д.Хуг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аева</w:t>
      </w:r>
      <w:proofErr w:type="spellEnd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огир</w:t>
      </w:r>
      <w:proofErr w:type="spellEnd"/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»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Дата "__" _____________ 20__ года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                     Общие сведения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Дата рождения обучающегося:                          Класс/группа: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Образовательная программа: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Причина направления на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                    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tbl>
      <w:tblPr>
        <w:tblW w:w="9071" w:type="dxa"/>
        <w:tblInd w:w="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35023">
        <w:tc>
          <w:tcPr>
            <w:tcW w:w="9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видов, сроков оказания психолого-медико-педагогической помощи.</w:t>
            </w:r>
            <w:proofErr w:type="gramEnd"/>
          </w:p>
        </w:tc>
      </w:tr>
      <w:tr w:rsidR="00135023">
        <w:tc>
          <w:tcPr>
            <w:tcW w:w="9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Рекомендации педагогам</w:t>
            </w:r>
          </w:p>
        </w:tc>
      </w:tr>
      <w:tr w:rsidR="00135023">
        <w:tc>
          <w:tcPr>
            <w:tcW w:w="9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5023">
        <w:tc>
          <w:tcPr>
            <w:tcW w:w="9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1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Рекомендации родителям</w:t>
            </w:r>
          </w:p>
        </w:tc>
      </w:tr>
      <w:tr w:rsidR="00135023">
        <w:tc>
          <w:tcPr>
            <w:tcW w:w="9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2" w:type="dxa"/>
            </w:tcMar>
          </w:tcPr>
          <w:p w:rsidR="00135023" w:rsidRDefault="009F551B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Приложение:    (планы   коррекционно-развивающей   работы,   индивидуальный образовательный маршрут и другие необходимые материалы):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 Председатель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_________________________________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 Члены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И.О.Фамилия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решением ознакомле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_____________/____________________________________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(подпись и ФИО (полностью) родителя (законного предс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тавителя)</w:t>
      </w:r>
      <w:proofErr w:type="gram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 решением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(на) _____________/____________________________________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(подпись и ФИО (полностью) родителя (законного представителя)</w:t>
      </w:r>
      <w:proofErr w:type="gram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решением согласе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на) частично, не согласен(на) с пунктами: 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______________/____________________________________________________________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  <w:sectPr w:rsidR="00135023">
          <w:pgSz w:w="11906" w:h="16838"/>
          <w:pgMar w:top="709" w:right="850" w:bottom="1134" w:left="1701" w:header="0" w:footer="0" w:gutter="0"/>
          <w:cols w:space="720"/>
          <w:formProt w:val="0"/>
          <w:docGrid w:linePitch="360" w:charSpace="-6145"/>
        </w:sect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ФИО (полностью) родителя (законного представителя)</w:t>
      </w:r>
      <w:proofErr w:type="gramEnd"/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Представление психолого-педагогического консилиума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обучающегося для предоставления на ПМПК</w:t>
      </w:r>
    </w:p>
    <w:p w:rsidR="00135023" w:rsidRDefault="009F551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(ФИО, дата рождения, группа/класс)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Общие сведения: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дата поступления в образовательную организацию;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про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грамма обучения (полное наименование);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форма организации образования: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 в группе/классе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Лекотека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др.);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общеобразовательный, отдельный для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 ...;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на дому;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в форме семейного образования;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 сетевая форма реализации образовательных программ;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с применением дистанционных технологий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факты, способные повлиять на поведение и успеваемость ребе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состав семьи (перечислить, с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кем проживает ребенок - родственные отношения и количество детей/взрослых);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трудности, переживаемые в семье (материальные, хроническая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психотравматизация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особо отмечается наличие жестокого отношения к ребенку, факт проживания совместно с ребенком родств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их членов семьи, низкий уровень образования членов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семьи, больше всего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ребенком).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Краткая характеристика познавательного, речевого, двигательного,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Краткая характерист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развития (значительно отстает, отстает, неравномерно отстает, частично опережает)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 Динамика (показатели) деятельности (практичес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кой, игровой, продуктивной) за период нахождения в образовательной организации </w:t>
      </w:r>
    </w:p>
    <w:p w:rsidR="00135023" w:rsidRDefault="0013502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Динамика освоения программного материала: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программа, по которой обучается ребенок (авторы или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название ОП/АОП);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Особенности, влияющие на рез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сензитивность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щаемость (высокая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 очевидным снижением качества деятельности и пр., умеренная, незначительная) и др.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8. Получаемая коррекционно-развивающая, психолого-педагогическая помощь (конкретизировать); (занятия с логопед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ом, дефектологом, психологом, учителем начальных классов - указать длительность, т.е. когда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начались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9. Характеристики взросления 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подростков, а 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акже обучающихся с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(общественно-опасным) поведением.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родители, исключили из секции, перестал заниматься из-за нехватки средств и т.п.);</w:t>
      </w:r>
      <w:proofErr w:type="gramEnd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характер занятости во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время (имеет ли круг обязанностей, как относится к их выполнению);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отношение к учебе (наличие предпочитаемых предметов, любимых учителе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й);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отношение к педагогическим воздействиям (описать воздействия и реакцию на них);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значимость общения со свер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стниками в системе ценностей обучающегося (приоритетная, второстепенная);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значимость виртуального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общения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способность критически оценивать поступ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самосознание (самооценка);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принадлежность к молодежной субкультур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особенности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психосексуального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развития;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религиозные убеждения (не актуализирует, навязывает другим);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привязан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либо эмоциональная связь с семьей ухудшена/утрачена);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жизненные планы и профессиональные намерения.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оведенческие девиации 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Для подростков, а также обучающихся с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(общественно-опасным) поведением.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совершенные в прошлом или текущие правонарушения;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наличие самовольных уходов из дома, бродяжничество;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проявления агрессии (физической и/или ве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рбальной) по отношению к другим (либо к животным), склонность к насилию;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оппозиционные установки (спорит, отказывается) либо негативизм (делает наоборот);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отношение к курению, алкоголю, наркотикам, другим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веществам (пробы, регулярное упот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ребление, интерес, стремление, зависимость);</w:t>
      </w:r>
      <w:proofErr w:type="gramEnd"/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сквернословие;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проявления злости и/или ненависти к окружающим (конкретизировать);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- отношение к компьютерным играм (равнодушен, интерес, зависимость);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повышенная внушаемость (влияние авторитетов, влияние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исфункциональных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дезадаптивные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черты личности (конкретизировать).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 Общий вывод 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Дата составления документа.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Печать образовательной организации.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Дополнительно: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Приложением к Представлению для школьников является табель успеваемости,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льной организации;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/психолог/дефектолог).</w:t>
      </w:r>
    </w:p>
    <w:p w:rsidR="00135023" w:rsidRDefault="009F551B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  <w:sectPr w:rsidR="00135023">
          <w:pgSz w:w="11906" w:h="16838"/>
          <w:pgMar w:top="709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Приложение 5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bookmarkStart w:id="3" w:name="P378"/>
      <w:bookmarkEnd w:id="3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 Согласие родителей (законн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ых представителей)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обучающегося</w:t>
      </w:r>
      <w:proofErr w:type="gram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  на проведение психолого-педагогического обследования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                          специалистами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Я, 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     ФИО родителя (законно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 представителя) обучающегося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       (номер, серия паспорта, когда и кем выдан)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являясь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родителем (законным представителем) 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 (нужное подчеркнуть)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(ФИО,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класс/группа, в котором/ой обучается обучающийся, дата (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дд.мм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.)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рождения)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"__"________20____г. </w:t>
      </w:r>
    </w:p>
    <w:p w:rsidR="00135023" w:rsidRDefault="00135023">
      <w:pPr>
        <w:shd w:val="clear" w:color="auto" w:fill="FFFFFF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/___________/_________________________________________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              (п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одпись)          (расшифровка подписи)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135023" w:rsidRDefault="009F551B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"/>
          <w:szCs w:val="2"/>
          <w:lang w:eastAsia="ru-RU"/>
        </w:rPr>
        <w:t> </w:t>
      </w:r>
    </w:p>
    <w:p w:rsidR="00135023" w:rsidRDefault="009F551B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sectPr w:rsidR="00135023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3"/>
    <w:rsid w:val="00135023"/>
    <w:rsid w:val="009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E74139FA3650D66FD623793902345D05CB901D8A985D46F2D88928B361FE21D907D7752C5FEAFD570A3A7C4CA02D8CBE299CCDD1A85b9V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2020-01-12T20:20:00Z</dcterms:created>
  <dcterms:modified xsi:type="dcterms:W3CDTF">2020-01-12T20:20:00Z</dcterms:modified>
  <dc:language>ru-RU</dc:language>
</cp:coreProperties>
</file>